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64A45">
      <w:pPr>
        <w:spacing w:line="520" w:lineRule="exact"/>
        <w:jc w:val="center"/>
        <w:rPr>
          <w:color w:val="000000" w:themeColor="text1"/>
          <w:sz w:val="28"/>
          <w:szCs w:val="32"/>
          <w:highlight w:val="none"/>
          <w14:textFill>
            <w14:solidFill>
              <w14:schemeClr w14:val="tx1"/>
            </w14:solidFill>
          </w14:textFill>
        </w:rPr>
      </w:pPr>
      <w:r>
        <w:rPr>
          <w:rFonts w:hint="eastAsia"/>
          <w:color w:val="000000" w:themeColor="text1"/>
          <w:sz w:val="28"/>
          <w:szCs w:val="32"/>
          <w:highlight w:val="none"/>
          <w14:textFill>
            <w14:solidFill>
              <w14:schemeClr w14:val="tx1"/>
            </w14:solidFill>
          </w14:textFill>
        </w:rPr>
        <w:t>京津冀铁路公司2026年建设单位管理</w:t>
      </w:r>
    </w:p>
    <w:p w14:paraId="5E94C4AD">
      <w:pPr>
        <w:spacing w:line="520" w:lineRule="exact"/>
        <w:jc w:val="center"/>
        <w:rPr>
          <w:color w:val="000000" w:themeColor="text1"/>
          <w:sz w:val="28"/>
          <w:szCs w:val="32"/>
          <w:highlight w:val="none"/>
          <w14:textFill>
            <w14:solidFill>
              <w14:schemeClr w14:val="tx1"/>
            </w14:solidFill>
          </w14:textFill>
        </w:rPr>
      </w:pPr>
      <w:r>
        <w:rPr>
          <w:rFonts w:hint="eastAsia"/>
          <w:color w:val="000000" w:themeColor="text1"/>
          <w:sz w:val="28"/>
          <w:szCs w:val="32"/>
          <w:highlight w:val="none"/>
          <w14:textFill>
            <w14:solidFill>
              <w14:schemeClr w14:val="tx1"/>
            </w14:solidFill>
          </w14:textFill>
        </w:rPr>
        <w:t>甲供物资（声屏障）招标公告</w:t>
      </w:r>
    </w:p>
    <w:p w14:paraId="30DB9447">
      <w:pPr>
        <w:jc w:val="center"/>
        <w:rPr>
          <w:rFonts w:ascii="宋体" w:hAnsi="宋体"/>
          <w:color w:val="000000" w:themeColor="text1"/>
          <w:sz w:val="28"/>
          <w:szCs w:val="32"/>
          <w:highlight w:val="none"/>
          <w14:textFill>
            <w14:solidFill>
              <w14:schemeClr w14:val="tx1"/>
            </w14:solidFill>
          </w14:textFill>
        </w:rPr>
      </w:pPr>
      <w:r>
        <w:rPr>
          <w:rFonts w:ascii="宋体" w:hAnsi="宋体" w:cs="Times New Roman"/>
          <w:color w:val="000000" w:themeColor="text1"/>
          <w:sz w:val="24"/>
          <w:szCs w:val="24"/>
          <w:highlight w:val="none"/>
          <w14:textFill>
            <w14:solidFill>
              <w14:schemeClr w14:val="tx1"/>
            </w14:solidFill>
          </w14:textFill>
        </w:rPr>
        <w:t>（招标编号：010）</w:t>
      </w:r>
    </w:p>
    <w:p w14:paraId="6A432E3F">
      <w:pPr>
        <w:pStyle w:val="3"/>
        <w:rPr>
          <w:color w:val="000000" w:themeColor="text1"/>
          <w:highlight w:val="none"/>
          <w14:textFill>
            <w14:solidFill>
              <w14:schemeClr w14:val="tx1"/>
            </w14:solidFill>
          </w14:textFill>
        </w:rPr>
      </w:pPr>
      <w:bookmarkStart w:id="0" w:name="_Toc517102950"/>
      <w:bookmarkStart w:id="1" w:name="_Toc10051"/>
      <w:bookmarkStart w:id="2" w:name="_Toc15453"/>
      <w:bookmarkStart w:id="3" w:name="_Toc29767"/>
      <w:bookmarkStart w:id="4" w:name="_Toc22015"/>
      <w:bookmarkStart w:id="5" w:name="_Toc221033758"/>
      <w:r>
        <w:rPr>
          <w:color w:val="000000" w:themeColor="text1"/>
          <w:highlight w:val="none"/>
          <w14:textFill>
            <w14:solidFill>
              <w14:schemeClr w14:val="tx1"/>
            </w14:solidFill>
          </w14:textFill>
        </w:rPr>
        <w:t>1．招标条件</w:t>
      </w:r>
      <w:bookmarkEnd w:id="0"/>
      <w:bookmarkEnd w:id="1"/>
      <w:bookmarkEnd w:id="2"/>
      <w:bookmarkEnd w:id="3"/>
      <w:bookmarkEnd w:id="4"/>
      <w:bookmarkEnd w:id="5"/>
    </w:p>
    <w:p w14:paraId="5864D720">
      <w:pPr>
        <w:tabs>
          <w:tab w:val="left" w:pos="0"/>
        </w:tabs>
        <w:spacing w:line="440" w:lineRule="exact"/>
        <w:ind w:firstLine="424" w:firstLineChars="202"/>
        <w:rPr>
          <w:rFonts w:cs="Times New Roman"/>
          <w:color w:val="000000" w:themeColor="text1"/>
          <w:szCs w:val="21"/>
          <w:highlight w:val="none"/>
          <w14:textFill>
            <w14:solidFill>
              <w14:schemeClr w14:val="tx1"/>
            </w14:solidFill>
          </w14:textFill>
        </w:rPr>
      </w:pPr>
      <w:r>
        <w:rPr>
          <w:rFonts w:hint="eastAsia" w:ascii="宋体" w:hAnsi="宋体" w:cs="宋体"/>
          <w:color w:val="000000"/>
          <w:kern w:val="20"/>
          <w:szCs w:val="21"/>
          <w:highlight w:val="none"/>
          <w:u w:val="single"/>
        </w:rPr>
        <w:t>本次招标项目已由可研报告批复的单位批准建设，建设资金已落实，项目业主、招标人等信息（见附件1）。项目涉及物资（见附件2）已具备招标条件，现进行公开招标</w:t>
      </w:r>
      <w:r>
        <w:rPr>
          <w:rFonts w:cs="Times New Roman"/>
          <w:color w:val="000000" w:themeColor="text1"/>
          <w:kern w:val="0"/>
          <w:szCs w:val="21"/>
          <w:highlight w:val="none"/>
          <w14:textFill>
            <w14:solidFill>
              <w14:schemeClr w14:val="tx1"/>
            </w14:solidFill>
          </w14:textFill>
        </w:rPr>
        <w:t>。</w:t>
      </w:r>
    </w:p>
    <w:p w14:paraId="4E923FB3">
      <w:pPr>
        <w:pStyle w:val="3"/>
        <w:rPr>
          <w:color w:val="000000" w:themeColor="text1"/>
          <w:highlight w:val="none"/>
          <w14:textFill>
            <w14:solidFill>
              <w14:schemeClr w14:val="tx1"/>
            </w14:solidFill>
          </w14:textFill>
        </w:rPr>
      </w:pPr>
      <w:bookmarkStart w:id="6" w:name="_Toc22928"/>
      <w:bookmarkStart w:id="7" w:name="_Toc517102951"/>
      <w:bookmarkStart w:id="8" w:name="_Toc26469"/>
      <w:bookmarkStart w:id="9" w:name="_Toc27335"/>
      <w:bookmarkStart w:id="10" w:name="_Toc221033759"/>
      <w:bookmarkStart w:id="11" w:name="_Toc4682"/>
      <w:r>
        <w:rPr>
          <w:color w:val="000000" w:themeColor="text1"/>
          <w:highlight w:val="none"/>
          <w14:textFill>
            <w14:solidFill>
              <w14:schemeClr w14:val="tx1"/>
            </w14:solidFill>
          </w14:textFill>
        </w:rPr>
        <w:t>2．项目概况与招标范围</w:t>
      </w:r>
      <w:bookmarkEnd w:id="6"/>
      <w:bookmarkEnd w:id="7"/>
      <w:bookmarkEnd w:id="8"/>
      <w:bookmarkEnd w:id="9"/>
      <w:bookmarkEnd w:id="10"/>
      <w:bookmarkEnd w:id="11"/>
    </w:p>
    <w:p w14:paraId="52AD328E">
      <w:pPr>
        <w:pStyle w:val="7"/>
        <w:spacing w:line="30" w:lineRule="atLeast"/>
        <w:ind w:firstLine="420"/>
        <w:rPr>
          <w:rFonts w:ascii="宋体" w:eastAsia="宋体"/>
          <w:sz w:val="21"/>
          <w:szCs w:val="21"/>
          <w:highlight w:val="none"/>
        </w:rPr>
      </w:pPr>
      <w:r>
        <w:rPr>
          <w:rFonts w:hint="eastAsia" w:ascii="宋体" w:eastAsia="宋体"/>
          <w:sz w:val="21"/>
          <w:szCs w:val="21"/>
          <w:highlight w:val="none"/>
        </w:rPr>
        <w:t>项目概况：</w:t>
      </w:r>
      <w:r>
        <w:rPr>
          <w:rFonts w:hint="eastAsia" w:ascii="宋体" w:eastAsia="宋体"/>
          <w:sz w:val="21"/>
          <w:szCs w:val="21"/>
          <w:highlight w:val="none"/>
          <w:u w:val="single"/>
        </w:rPr>
        <w:t>（见附件1）</w:t>
      </w:r>
      <w:r>
        <w:rPr>
          <w:rFonts w:hint="eastAsia" w:ascii="宋体" w:eastAsia="宋体"/>
          <w:sz w:val="21"/>
          <w:szCs w:val="21"/>
          <w:highlight w:val="none"/>
        </w:rPr>
        <w:t>。</w:t>
      </w:r>
    </w:p>
    <w:p w14:paraId="0CF25E6A">
      <w:pPr>
        <w:tabs>
          <w:tab w:val="left" w:pos="0"/>
        </w:tabs>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hint="eastAsia" w:ascii="宋体" w:hAnsi="宋体"/>
          <w:szCs w:val="21"/>
          <w:highlight w:val="none"/>
        </w:rPr>
        <w:t>招标范围及内容：</w:t>
      </w:r>
      <w:r>
        <w:rPr>
          <w:rFonts w:hint="eastAsia" w:ascii="宋体" w:hAnsi="宋体" w:cs="宋体"/>
          <w:color w:val="000000"/>
          <w:kern w:val="20"/>
          <w:szCs w:val="21"/>
          <w:highlight w:val="none"/>
          <w:u w:val="single"/>
        </w:rPr>
        <w:t>（见附件2）</w:t>
      </w:r>
      <w:r>
        <w:rPr>
          <w:rFonts w:cs="Times New Roman"/>
          <w:color w:val="000000" w:themeColor="text1"/>
          <w:szCs w:val="21"/>
          <w:highlight w:val="none"/>
          <w14:textFill>
            <w14:solidFill>
              <w14:schemeClr w14:val="tx1"/>
            </w14:solidFill>
          </w14:textFill>
        </w:rPr>
        <w:t>。</w:t>
      </w:r>
    </w:p>
    <w:p w14:paraId="602B862B">
      <w:pPr>
        <w:pStyle w:val="3"/>
        <w:rPr>
          <w:color w:val="000000" w:themeColor="text1"/>
          <w:highlight w:val="none"/>
          <w14:textFill>
            <w14:solidFill>
              <w14:schemeClr w14:val="tx1"/>
            </w14:solidFill>
          </w14:textFill>
        </w:rPr>
      </w:pPr>
      <w:bookmarkStart w:id="12" w:name="_Toc15524"/>
      <w:bookmarkStart w:id="13" w:name="_Toc30826"/>
      <w:bookmarkStart w:id="14" w:name="_Toc517102952"/>
      <w:bookmarkStart w:id="15" w:name="_Toc221033760"/>
      <w:bookmarkStart w:id="16" w:name="_Toc7853"/>
      <w:bookmarkStart w:id="17" w:name="_Toc26852"/>
      <w:r>
        <w:rPr>
          <w:color w:val="000000" w:themeColor="text1"/>
          <w:highlight w:val="none"/>
          <w14:textFill>
            <w14:solidFill>
              <w14:schemeClr w14:val="tx1"/>
            </w14:solidFill>
          </w14:textFill>
        </w:rPr>
        <w:t>3．投标人资格要求</w:t>
      </w:r>
      <w:bookmarkEnd w:id="12"/>
      <w:bookmarkEnd w:id="13"/>
      <w:bookmarkEnd w:id="14"/>
      <w:bookmarkEnd w:id="15"/>
      <w:bookmarkEnd w:id="16"/>
      <w:bookmarkEnd w:id="17"/>
    </w:p>
    <w:p w14:paraId="4615564A">
      <w:pPr>
        <w:pStyle w:val="8"/>
        <w:spacing w:line="30" w:lineRule="atLeast"/>
        <w:rPr>
          <w:iCs/>
          <w:kern w:val="0"/>
          <w:highlight w:val="none"/>
          <w:u w:val="single"/>
        </w:rPr>
      </w:pPr>
      <w:r>
        <w:rPr>
          <w:iCs/>
          <w:kern w:val="0"/>
          <w:highlight w:val="none"/>
        </w:rPr>
        <w:t xml:space="preserve">3.1 </w:t>
      </w:r>
      <w:r>
        <w:rPr>
          <w:rFonts w:hint="eastAsia"/>
          <w:iCs/>
          <w:kern w:val="0"/>
          <w:highlight w:val="none"/>
        </w:rPr>
        <w:t>本次招标投标人须具备的资格要求：</w:t>
      </w:r>
    </w:p>
    <w:p w14:paraId="69C35A96">
      <w:pPr>
        <w:pStyle w:val="8"/>
        <w:spacing w:line="30" w:lineRule="atLeast"/>
        <w:rPr>
          <w:rFonts w:ascii="宋体" w:hAnsi="宋体"/>
          <w:szCs w:val="21"/>
          <w:highlight w:val="none"/>
          <w:u w:val="single"/>
        </w:rPr>
      </w:pPr>
      <w:r>
        <w:rPr>
          <w:rFonts w:hint="eastAsia"/>
          <w:iCs/>
          <w:kern w:val="0"/>
          <w:highlight w:val="none"/>
        </w:rPr>
        <w:t>3.1.1</w:t>
      </w:r>
      <w:r>
        <w:rPr>
          <w:rFonts w:hint="eastAsia" w:ascii="宋体" w:hAnsi="宋体"/>
          <w:szCs w:val="21"/>
          <w:highlight w:val="none"/>
          <w:u w:val="single"/>
        </w:rPr>
        <w:t>各包件专用要求详见招标公告附表（附件2）</w:t>
      </w:r>
      <w:r>
        <w:rPr>
          <w:rFonts w:hint="eastAsia" w:ascii="宋体" w:hAnsi="宋体"/>
          <w:szCs w:val="21"/>
          <w:highlight w:val="none"/>
        </w:rPr>
        <w:t xml:space="preserve"> 。</w:t>
      </w:r>
    </w:p>
    <w:p w14:paraId="5BAB3405">
      <w:pPr>
        <w:pStyle w:val="8"/>
        <w:spacing w:line="30" w:lineRule="atLeast"/>
        <w:rPr>
          <w:rFonts w:ascii="宋体" w:hAnsi="宋体"/>
          <w:szCs w:val="21"/>
          <w:highlight w:val="none"/>
          <w:u w:val="single"/>
        </w:rPr>
      </w:pPr>
      <w:r>
        <w:rPr>
          <w:rFonts w:hint="eastAsia"/>
          <w:iCs/>
          <w:kern w:val="0"/>
          <w:highlight w:val="none"/>
        </w:rPr>
        <w:t>3.</w:t>
      </w:r>
      <w:r>
        <w:rPr>
          <w:iCs/>
          <w:kern w:val="0"/>
          <w:highlight w:val="none"/>
        </w:rPr>
        <w:t>1.</w:t>
      </w:r>
      <w:r>
        <w:rPr>
          <w:rFonts w:hint="eastAsia"/>
          <w:iCs/>
          <w:kern w:val="0"/>
          <w:highlight w:val="none"/>
        </w:rPr>
        <w:t>2</w:t>
      </w:r>
      <w:r>
        <w:rPr>
          <w:rFonts w:hint="eastAsia"/>
          <w:iCs/>
          <w:kern w:val="0"/>
          <w:highlight w:val="none"/>
          <w:u w:val="single"/>
        </w:rPr>
        <w:t xml:space="preserve"> 投</w:t>
      </w:r>
      <w:r>
        <w:rPr>
          <w:rFonts w:hint="eastAsia" w:ascii="宋体" w:hAnsi="宋体"/>
          <w:szCs w:val="21"/>
          <w:highlight w:val="none"/>
          <w:u w:val="single"/>
        </w:rPr>
        <w:t>标人不得存在：投标人须知正文1.4.3的情形</w:t>
      </w:r>
      <w:r>
        <w:rPr>
          <w:rFonts w:hint="eastAsia" w:ascii="宋体" w:hAnsi="宋体"/>
          <w:szCs w:val="21"/>
          <w:highlight w:val="none"/>
        </w:rPr>
        <w:t>。</w:t>
      </w:r>
    </w:p>
    <w:p w14:paraId="44C8C542">
      <w:pPr>
        <w:pStyle w:val="8"/>
        <w:spacing w:after="120" w:line="440" w:lineRule="exact"/>
        <w:rPr>
          <w:rFonts w:cs="Times New Roman"/>
          <w:color w:val="000000" w:themeColor="text1"/>
          <w:szCs w:val="21"/>
          <w:highlight w:val="none"/>
          <w14:textFill>
            <w14:solidFill>
              <w14:schemeClr w14:val="tx1"/>
            </w14:solidFill>
          </w14:textFill>
        </w:rPr>
      </w:pPr>
      <w:r>
        <w:rPr>
          <w:rFonts w:hint="eastAsia"/>
          <w:iCs/>
          <w:kern w:val="0"/>
          <w:highlight w:val="none"/>
        </w:rPr>
        <w:t>3.</w:t>
      </w:r>
      <w:r>
        <w:rPr>
          <w:iCs/>
          <w:kern w:val="0"/>
          <w:highlight w:val="none"/>
        </w:rPr>
        <w:t>2</w:t>
      </w:r>
      <w:r>
        <w:rPr>
          <w:rFonts w:hint="eastAsia" w:ascii="宋体" w:hAnsi="宋体"/>
          <w:szCs w:val="21"/>
          <w:highlight w:val="none"/>
          <w:u w:val="single"/>
        </w:rPr>
        <w:t>本次招标不接受联合体投标</w:t>
      </w:r>
      <w:r>
        <w:rPr>
          <w:rFonts w:cs="Times New Roman"/>
          <w:color w:val="000000" w:themeColor="text1"/>
          <w:szCs w:val="21"/>
          <w:highlight w:val="none"/>
          <w14:textFill>
            <w14:solidFill>
              <w14:schemeClr w14:val="tx1"/>
            </w14:solidFill>
          </w14:textFill>
        </w:rPr>
        <w:t>。</w:t>
      </w:r>
    </w:p>
    <w:p w14:paraId="73B85DBC">
      <w:pPr>
        <w:pStyle w:val="3"/>
        <w:rPr>
          <w:color w:val="000000" w:themeColor="text1"/>
          <w:highlight w:val="none"/>
          <w14:textFill>
            <w14:solidFill>
              <w14:schemeClr w14:val="tx1"/>
            </w14:solidFill>
          </w14:textFill>
        </w:rPr>
      </w:pPr>
      <w:bookmarkStart w:id="18" w:name="_Toc2998"/>
      <w:bookmarkStart w:id="19" w:name="_Toc221033761"/>
      <w:bookmarkStart w:id="20" w:name="_Toc28882"/>
      <w:bookmarkStart w:id="21" w:name="_Toc6301"/>
      <w:bookmarkStart w:id="22" w:name="_Toc8367"/>
      <w:r>
        <w:rPr>
          <w:color w:val="000000" w:themeColor="text1"/>
          <w:highlight w:val="none"/>
          <w14:textFill>
            <w14:solidFill>
              <w14:schemeClr w14:val="tx1"/>
            </w14:solidFill>
          </w14:textFill>
        </w:rPr>
        <w:t>4．诚信要求</w:t>
      </w:r>
      <w:bookmarkEnd w:id="18"/>
      <w:bookmarkEnd w:id="19"/>
      <w:bookmarkEnd w:id="20"/>
      <w:bookmarkEnd w:id="21"/>
      <w:bookmarkEnd w:id="22"/>
    </w:p>
    <w:p w14:paraId="6A98ACDF">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4.1本次招标不接受有下列行为的申请人提出的申请：</w:t>
      </w:r>
    </w:p>
    <w:p w14:paraId="501BC521">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（1）在规定期限内有行贿犯罪记录的；</w:t>
      </w:r>
    </w:p>
    <w:p w14:paraId="67AE9FA0">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（2）在规定期限内被列入国家铁路局“黑名单”管理的。</w:t>
      </w:r>
    </w:p>
    <w:p w14:paraId="453471E5">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4.2本次招标对在规定期限内存在失信情形的潜在投标人依法进行限制。</w:t>
      </w:r>
    </w:p>
    <w:p w14:paraId="3D5FAF83">
      <w:pPr>
        <w:pStyle w:val="3"/>
        <w:rPr>
          <w:color w:val="000000" w:themeColor="text1"/>
          <w:highlight w:val="none"/>
          <w14:textFill>
            <w14:solidFill>
              <w14:schemeClr w14:val="tx1"/>
            </w14:solidFill>
          </w14:textFill>
        </w:rPr>
      </w:pPr>
      <w:bookmarkStart w:id="23" w:name="_Toc32154"/>
      <w:bookmarkStart w:id="24" w:name="_Toc10170"/>
      <w:bookmarkStart w:id="25" w:name="_Toc10411"/>
      <w:bookmarkStart w:id="26" w:name="_Toc14136"/>
      <w:bookmarkStart w:id="27" w:name="_Toc221033762"/>
      <w:bookmarkStart w:id="28" w:name="_Toc517102953"/>
      <w:r>
        <w:rPr>
          <w:color w:val="000000" w:themeColor="text1"/>
          <w:highlight w:val="none"/>
          <w14:textFill>
            <w14:solidFill>
              <w14:schemeClr w14:val="tx1"/>
            </w14:solidFill>
          </w14:textFill>
        </w:rPr>
        <w:t>5．招标文件的获取</w:t>
      </w:r>
      <w:bookmarkEnd w:id="23"/>
      <w:bookmarkEnd w:id="24"/>
      <w:bookmarkEnd w:id="25"/>
      <w:bookmarkEnd w:id="26"/>
      <w:bookmarkEnd w:id="27"/>
      <w:bookmarkEnd w:id="28"/>
    </w:p>
    <w:p w14:paraId="65B25988">
      <w:pPr>
        <w:tabs>
          <w:tab w:val="left" w:pos="360"/>
        </w:tabs>
        <w:spacing w:after="120" w:line="440" w:lineRule="exact"/>
        <w:ind w:firstLine="420" w:firstLineChars="200"/>
        <w:rPr>
          <w:rFonts w:cs="Times New Roman"/>
          <w:szCs w:val="21"/>
          <w:highlight w:val="none"/>
        </w:rPr>
      </w:pPr>
      <w:r>
        <w:rPr>
          <w:rFonts w:cs="Times New Roman"/>
          <w:szCs w:val="21"/>
          <w:highlight w:val="none"/>
        </w:rPr>
        <w:t xml:space="preserve">5.1 </w:t>
      </w:r>
      <w:r>
        <w:rPr>
          <w:rFonts w:cs="Times New Roman"/>
          <w:color w:val="333333"/>
          <w:szCs w:val="21"/>
          <w:highlight w:val="none"/>
        </w:rPr>
        <w:t>请投标人于</w:t>
      </w:r>
      <w:r>
        <w:rPr>
          <w:rFonts w:cs="Times New Roman"/>
          <w:color w:val="333333"/>
          <w:szCs w:val="21"/>
          <w:highlight w:val="none"/>
          <w:u w:val="single"/>
        </w:rPr>
        <w:t xml:space="preserve">  2026年</w:t>
      </w:r>
      <w:r>
        <w:rPr>
          <w:rFonts w:hint="eastAsia" w:cs="Times New Roman"/>
          <w:color w:val="333333"/>
          <w:szCs w:val="21"/>
          <w:highlight w:val="none"/>
          <w:u w:val="single"/>
          <w:lang w:val="en-US" w:eastAsia="zh-CN"/>
        </w:rPr>
        <w:t>8</w:t>
      </w:r>
      <w:r>
        <w:rPr>
          <w:rFonts w:cs="Times New Roman"/>
          <w:color w:val="333333"/>
          <w:szCs w:val="21"/>
          <w:highlight w:val="none"/>
          <w:u w:val="single"/>
        </w:rPr>
        <w:t>月</w:t>
      </w:r>
      <w:r>
        <w:rPr>
          <w:rFonts w:hint="eastAsia" w:cs="Times New Roman"/>
          <w:color w:val="333333"/>
          <w:szCs w:val="21"/>
          <w:highlight w:val="none"/>
          <w:u w:val="single"/>
          <w:lang w:val="en-US" w:eastAsia="zh-CN"/>
        </w:rPr>
        <w:t>4</w:t>
      </w:r>
      <w:r>
        <w:rPr>
          <w:rFonts w:cs="Times New Roman"/>
          <w:color w:val="333333"/>
          <w:szCs w:val="21"/>
          <w:highlight w:val="none"/>
          <w:u w:val="single"/>
        </w:rPr>
        <w:t>日</w:t>
      </w:r>
      <w:r>
        <w:rPr>
          <w:rFonts w:hint="eastAsia" w:cs="Times New Roman"/>
          <w:color w:val="333333"/>
          <w:szCs w:val="21"/>
          <w:highlight w:val="none"/>
          <w:u w:val="single"/>
        </w:rPr>
        <w:t>11</w:t>
      </w:r>
      <w:r>
        <w:rPr>
          <w:rFonts w:cs="Times New Roman"/>
          <w:color w:val="333333"/>
          <w:szCs w:val="21"/>
          <w:highlight w:val="none"/>
          <w:u w:val="single"/>
        </w:rPr>
        <w:t xml:space="preserve">:00  </w:t>
      </w:r>
      <w:r>
        <w:rPr>
          <w:rFonts w:cs="Times New Roman"/>
          <w:color w:val="333333"/>
          <w:szCs w:val="21"/>
          <w:highlight w:val="none"/>
        </w:rPr>
        <w:t>至</w:t>
      </w:r>
      <w:r>
        <w:rPr>
          <w:rFonts w:cs="Times New Roman"/>
          <w:color w:val="333333"/>
          <w:szCs w:val="21"/>
          <w:highlight w:val="none"/>
          <w:u w:val="single"/>
        </w:rPr>
        <w:t xml:space="preserve">  2026年</w:t>
      </w:r>
      <w:r>
        <w:rPr>
          <w:rFonts w:hint="eastAsia" w:cs="Times New Roman"/>
          <w:color w:val="333333"/>
          <w:szCs w:val="21"/>
          <w:highlight w:val="none"/>
          <w:u w:val="single"/>
          <w:lang w:val="en-US" w:eastAsia="zh-CN"/>
        </w:rPr>
        <w:t>8</w:t>
      </w:r>
      <w:r>
        <w:rPr>
          <w:rFonts w:cs="Times New Roman"/>
          <w:color w:val="333333"/>
          <w:szCs w:val="21"/>
          <w:highlight w:val="none"/>
          <w:u w:val="single"/>
        </w:rPr>
        <w:t>月</w:t>
      </w:r>
      <w:r>
        <w:rPr>
          <w:rFonts w:hint="eastAsia" w:cs="Times New Roman"/>
          <w:color w:val="333333"/>
          <w:szCs w:val="21"/>
          <w:highlight w:val="none"/>
          <w:u w:val="single"/>
          <w:lang w:val="en-US" w:eastAsia="zh-CN"/>
        </w:rPr>
        <w:t>10</w:t>
      </w:r>
      <w:r>
        <w:rPr>
          <w:rFonts w:cs="Times New Roman"/>
          <w:color w:val="333333"/>
          <w:szCs w:val="21"/>
          <w:highlight w:val="none"/>
          <w:u w:val="single"/>
        </w:rPr>
        <w:t xml:space="preserve">日 </w:t>
      </w:r>
      <w:r>
        <w:rPr>
          <w:rFonts w:hint="eastAsia" w:cs="Times New Roman"/>
          <w:color w:val="333333"/>
          <w:szCs w:val="21"/>
          <w:highlight w:val="none"/>
          <w:u w:val="single"/>
        </w:rPr>
        <w:t>11:</w:t>
      </w:r>
      <w:r>
        <w:rPr>
          <w:rFonts w:cs="Times New Roman"/>
          <w:color w:val="333333"/>
          <w:szCs w:val="21"/>
          <w:highlight w:val="none"/>
          <w:u w:val="single"/>
        </w:rPr>
        <w:t xml:space="preserve">00  </w:t>
      </w:r>
      <w:r>
        <w:rPr>
          <w:rFonts w:cs="Times New Roman"/>
          <w:color w:val="333333"/>
          <w:szCs w:val="21"/>
          <w:highlight w:val="none"/>
        </w:rPr>
        <w:t>，通过北京市公共资源交易服务平台下载招标文件（电子版）。</w:t>
      </w:r>
    </w:p>
    <w:p w14:paraId="76F98BD7">
      <w:pPr>
        <w:spacing w:after="120" w:line="440" w:lineRule="exact"/>
        <w:ind w:firstLine="424" w:firstLineChars="202"/>
        <w:rPr>
          <w:rFonts w:cs="Times New Roman"/>
          <w:bCs/>
          <w:color w:val="000000" w:themeColor="text1"/>
          <w:szCs w:val="21"/>
          <w:highlight w:val="none"/>
          <w14:textFill>
            <w14:solidFill>
              <w14:schemeClr w14:val="tx1"/>
            </w14:solidFill>
          </w14:textFill>
        </w:rPr>
      </w:pPr>
      <w:r>
        <w:rPr>
          <w:rFonts w:cs="Times New Roman"/>
          <w:bCs/>
          <w:szCs w:val="21"/>
          <w:highlight w:val="none"/>
        </w:rPr>
        <w:t xml:space="preserve">5.2 </w:t>
      </w:r>
      <w:r>
        <w:rPr>
          <w:rFonts w:hint="eastAsia" w:ascii="宋体" w:hAnsi="宋体" w:cs="宋体"/>
          <w:color w:val="333333"/>
          <w:szCs w:val="21"/>
          <w:highlight w:val="none"/>
        </w:rPr>
        <w:t>招标文件每套售价</w:t>
      </w:r>
      <w:r>
        <w:rPr>
          <w:rFonts w:hint="eastAsia" w:ascii="宋体" w:hAnsi="宋体" w:cs="宋体"/>
          <w:color w:val="333333"/>
          <w:szCs w:val="21"/>
          <w:highlight w:val="none"/>
          <w:u w:val="single"/>
        </w:rPr>
        <w:t xml:space="preserve">  0  </w:t>
      </w:r>
      <w:r>
        <w:rPr>
          <w:rFonts w:hint="eastAsia" w:ascii="宋体" w:hAnsi="宋体" w:cs="宋体"/>
          <w:color w:val="333333"/>
          <w:szCs w:val="21"/>
          <w:highlight w:val="none"/>
        </w:rPr>
        <w:t>元</w:t>
      </w:r>
      <w:r>
        <w:rPr>
          <w:rFonts w:cs="Times New Roman"/>
          <w:bCs/>
          <w:szCs w:val="21"/>
          <w:highlight w:val="none"/>
        </w:rPr>
        <w:t>，售后不退</w:t>
      </w:r>
      <w:r>
        <w:rPr>
          <w:rFonts w:hint="eastAsia" w:ascii="宋体" w:hAnsi="宋体" w:cs="宋体"/>
          <w:color w:val="333333"/>
          <w:szCs w:val="21"/>
          <w:highlight w:val="none"/>
        </w:rPr>
        <w:t>。采用银行汇款方式将款项汇至账户名称</w:t>
      </w:r>
      <w:r>
        <w:rPr>
          <w:rFonts w:hint="eastAsia" w:ascii="宋体" w:hAnsi="宋体" w:cs="宋体"/>
          <w:color w:val="333333"/>
          <w:szCs w:val="21"/>
          <w:highlight w:val="none"/>
          <w:u w:val="single"/>
        </w:rPr>
        <w:t xml:space="preserve">  /  </w:t>
      </w:r>
      <w:r>
        <w:rPr>
          <w:rFonts w:hint="eastAsia" w:ascii="宋体" w:hAnsi="宋体" w:cs="宋体"/>
          <w:color w:val="333333"/>
          <w:szCs w:val="21"/>
          <w:highlight w:val="none"/>
        </w:rPr>
        <w:t>，账号：</w:t>
      </w:r>
      <w:r>
        <w:rPr>
          <w:rFonts w:hint="eastAsia" w:ascii="宋体" w:hAnsi="宋体" w:cs="宋体"/>
          <w:color w:val="333333"/>
          <w:szCs w:val="21"/>
          <w:highlight w:val="none"/>
          <w:u w:val="single"/>
        </w:rPr>
        <w:t xml:space="preserve">  /  </w:t>
      </w:r>
      <w:r>
        <w:rPr>
          <w:rFonts w:hint="eastAsia" w:ascii="宋体" w:hAnsi="宋体" w:cs="宋体"/>
          <w:color w:val="333333"/>
          <w:szCs w:val="21"/>
          <w:highlight w:val="none"/>
        </w:rPr>
        <w:t>，开户行：</w:t>
      </w:r>
      <w:r>
        <w:rPr>
          <w:rFonts w:hint="eastAsia" w:ascii="宋体" w:hAnsi="宋体" w:cs="宋体"/>
          <w:color w:val="333333"/>
          <w:szCs w:val="21"/>
          <w:highlight w:val="none"/>
          <w:u w:val="single"/>
        </w:rPr>
        <w:t xml:space="preserve">  /  </w:t>
      </w:r>
      <w:r>
        <w:rPr>
          <w:rFonts w:hint="eastAsia" w:ascii="宋体" w:hAnsi="宋体" w:cs="宋体"/>
          <w:color w:val="333333"/>
          <w:szCs w:val="21"/>
          <w:highlight w:val="none"/>
        </w:rPr>
        <w:t>。请投标人确保在购买招标文件之前将上述费用汇到招标人指定账户，并在系统中上传缴费凭证</w:t>
      </w:r>
      <w:r>
        <w:rPr>
          <w:rFonts w:cs="Times New Roman"/>
          <w:color w:val="000000" w:themeColor="text1"/>
          <w:szCs w:val="21"/>
          <w:highlight w:val="none"/>
          <w14:textFill>
            <w14:solidFill>
              <w14:schemeClr w14:val="tx1"/>
            </w14:solidFill>
          </w14:textFill>
        </w:rPr>
        <w:t>。</w:t>
      </w:r>
    </w:p>
    <w:p w14:paraId="1631A119">
      <w:pPr>
        <w:pStyle w:val="3"/>
        <w:rPr>
          <w:color w:val="000000" w:themeColor="text1"/>
          <w:highlight w:val="none"/>
          <w14:textFill>
            <w14:solidFill>
              <w14:schemeClr w14:val="tx1"/>
            </w14:solidFill>
          </w14:textFill>
        </w:rPr>
      </w:pPr>
      <w:bookmarkStart w:id="29" w:name="_Toc517102954"/>
      <w:bookmarkStart w:id="30" w:name="_Toc32546"/>
      <w:bookmarkStart w:id="31" w:name="_Toc8334"/>
      <w:bookmarkStart w:id="32" w:name="_Toc221033763"/>
      <w:bookmarkStart w:id="33" w:name="_Toc17251"/>
      <w:bookmarkStart w:id="34" w:name="_Toc156"/>
      <w:r>
        <w:rPr>
          <w:color w:val="000000" w:themeColor="text1"/>
          <w:highlight w:val="none"/>
          <w14:textFill>
            <w14:solidFill>
              <w14:schemeClr w14:val="tx1"/>
            </w14:solidFill>
          </w14:textFill>
        </w:rPr>
        <w:t>6．投标文件的递交</w:t>
      </w:r>
      <w:bookmarkEnd w:id="29"/>
      <w:bookmarkEnd w:id="30"/>
      <w:bookmarkEnd w:id="31"/>
      <w:bookmarkEnd w:id="32"/>
      <w:bookmarkEnd w:id="33"/>
      <w:bookmarkEnd w:id="34"/>
    </w:p>
    <w:p w14:paraId="3A0809C1">
      <w:pPr>
        <w:spacing w:after="120" w:line="440" w:lineRule="exact"/>
        <w:ind w:firstLine="424" w:firstLineChars="202"/>
        <w:rPr>
          <w:rFonts w:cs="Times New Roman"/>
          <w:bCs/>
          <w:color w:val="000000" w:themeColor="text1"/>
          <w:szCs w:val="21"/>
          <w:highlight w:val="none"/>
          <w14:textFill>
            <w14:solidFill>
              <w14:schemeClr w14:val="tx1"/>
            </w14:solidFill>
          </w14:textFill>
        </w:rPr>
      </w:pPr>
      <w:bookmarkStart w:id="35" w:name="_Toc517102955"/>
      <w:r>
        <w:rPr>
          <w:rFonts w:cs="Times New Roman"/>
          <w:bCs/>
          <w:color w:val="000000" w:themeColor="text1"/>
          <w:szCs w:val="21"/>
          <w:highlight w:val="none"/>
          <w14:textFill>
            <w14:solidFill>
              <w14:schemeClr w14:val="tx1"/>
            </w14:solidFill>
          </w14:textFill>
        </w:rPr>
        <w:t xml:space="preserve">6.1 </w:t>
      </w:r>
      <w:r>
        <w:rPr>
          <w:rFonts w:cs="Times New Roman"/>
          <w:bCs/>
          <w:szCs w:val="21"/>
          <w:highlight w:val="none"/>
        </w:rPr>
        <w:t>投标文件递交的时间为</w:t>
      </w:r>
      <w:r>
        <w:rPr>
          <w:rFonts w:cs="Times New Roman"/>
          <w:color w:val="333333"/>
          <w:szCs w:val="21"/>
          <w:highlight w:val="none"/>
          <w:u w:val="single"/>
        </w:rPr>
        <w:t xml:space="preserve">  2026年</w:t>
      </w:r>
      <w:r>
        <w:rPr>
          <w:rFonts w:hint="eastAsia" w:cs="Times New Roman"/>
          <w:color w:val="333333"/>
          <w:szCs w:val="21"/>
          <w:highlight w:val="none"/>
          <w:u w:val="single"/>
          <w:lang w:val="en-US" w:eastAsia="zh-CN"/>
        </w:rPr>
        <w:t>9</w:t>
      </w:r>
      <w:r>
        <w:rPr>
          <w:rFonts w:cs="Times New Roman"/>
          <w:color w:val="333333"/>
          <w:szCs w:val="21"/>
          <w:highlight w:val="none"/>
          <w:u w:val="single"/>
        </w:rPr>
        <w:t>月</w:t>
      </w:r>
      <w:r>
        <w:rPr>
          <w:rFonts w:hint="eastAsia" w:cs="Times New Roman"/>
          <w:color w:val="333333"/>
          <w:szCs w:val="21"/>
          <w:highlight w:val="none"/>
          <w:u w:val="single"/>
          <w:lang w:val="en-US" w:eastAsia="zh-CN"/>
        </w:rPr>
        <w:t>10</w:t>
      </w:r>
      <w:r>
        <w:rPr>
          <w:rFonts w:cs="Times New Roman"/>
          <w:color w:val="333333"/>
          <w:szCs w:val="21"/>
          <w:highlight w:val="none"/>
          <w:u w:val="single"/>
        </w:rPr>
        <w:t>日 0</w:t>
      </w:r>
      <w:r>
        <w:rPr>
          <w:rFonts w:hint="eastAsia" w:cs="Times New Roman"/>
          <w:color w:val="333333"/>
          <w:szCs w:val="21"/>
          <w:highlight w:val="none"/>
          <w:u w:val="single"/>
        </w:rPr>
        <w:t>9</w:t>
      </w:r>
      <w:r>
        <w:rPr>
          <w:rFonts w:cs="Times New Roman"/>
          <w:color w:val="333333"/>
          <w:szCs w:val="21"/>
          <w:highlight w:val="none"/>
          <w:u w:val="single"/>
        </w:rPr>
        <w:t>:</w:t>
      </w:r>
      <w:r>
        <w:rPr>
          <w:rFonts w:hint="eastAsia" w:cs="Times New Roman"/>
          <w:color w:val="333333"/>
          <w:szCs w:val="21"/>
          <w:highlight w:val="none"/>
          <w:u w:val="single"/>
        </w:rPr>
        <w:t>0</w:t>
      </w:r>
      <w:r>
        <w:rPr>
          <w:rFonts w:cs="Times New Roman"/>
          <w:color w:val="333333"/>
          <w:szCs w:val="21"/>
          <w:highlight w:val="none"/>
          <w:u w:val="single"/>
        </w:rPr>
        <w:t xml:space="preserve">0  </w:t>
      </w:r>
      <w:r>
        <w:rPr>
          <w:rFonts w:cs="Times New Roman"/>
          <w:bCs/>
          <w:szCs w:val="21"/>
          <w:highlight w:val="none"/>
          <w:u w:val="single"/>
        </w:rPr>
        <w:t>至</w:t>
      </w:r>
      <w:r>
        <w:rPr>
          <w:rFonts w:cs="Times New Roman"/>
          <w:color w:val="333333"/>
          <w:szCs w:val="21"/>
          <w:highlight w:val="none"/>
          <w:u w:val="single"/>
        </w:rPr>
        <w:t xml:space="preserve">  2026年</w:t>
      </w:r>
      <w:r>
        <w:rPr>
          <w:rFonts w:hint="eastAsia" w:cs="Times New Roman"/>
          <w:color w:val="333333"/>
          <w:szCs w:val="21"/>
          <w:highlight w:val="none"/>
          <w:u w:val="single"/>
          <w:lang w:val="en-US" w:eastAsia="zh-CN"/>
        </w:rPr>
        <w:t>9</w:t>
      </w:r>
      <w:r>
        <w:rPr>
          <w:rFonts w:cs="Times New Roman"/>
          <w:color w:val="333333"/>
          <w:szCs w:val="21"/>
          <w:highlight w:val="none"/>
          <w:u w:val="single"/>
        </w:rPr>
        <w:t>月</w:t>
      </w:r>
      <w:r>
        <w:rPr>
          <w:rFonts w:hint="eastAsia" w:cs="Times New Roman"/>
          <w:color w:val="333333"/>
          <w:szCs w:val="21"/>
          <w:highlight w:val="none"/>
          <w:u w:val="single"/>
          <w:lang w:val="en-US" w:eastAsia="zh-CN"/>
        </w:rPr>
        <w:t>10</w:t>
      </w:r>
      <w:r>
        <w:rPr>
          <w:rFonts w:cs="Times New Roman"/>
          <w:color w:val="333333"/>
          <w:szCs w:val="21"/>
          <w:highlight w:val="none"/>
          <w:u w:val="single"/>
        </w:rPr>
        <w:t xml:space="preserve">日 </w:t>
      </w:r>
      <w:r>
        <w:rPr>
          <w:rFonts w:hint="eastAsia" w:cs="Times New Roman"/>
          <w:color w:val="333333"/>
          <w:szCs w:val="21"/>
          <w:highlight w:val="none"/>
          <w:u w:val="single"/>
        </w:rPr>
        <w:t>10</w:t>
      </w:r>
      <w:r>
        <w:rPr>
          <w:rFonts w:cs="Times New Roman"/>
          <w:color w:val="333333"/>
          <w:szCs w:val="21"/>
          <w:highlight w:val="none"/>
          <w:u w:val="single"/>
        </w:rPr>
        <w:t>:</w:t>
      </w:r>
      <w:r>
        <w:rPr>
          <w:rFonts w:hint="eastAsia" w:cs="Times New Roman"/>
          <w:color w:val="333333"/>
          <w:szCs w:val="21"/>
          <w:highlight w:val="none"/>
          <w:u w:val="single"/>
        </w:rPr>
        <w:t>0</w:t>
      </w:r>
      <w:r>
        <w:rPr>
          <w:rFonts w:cs="Times New Roman"/>
          <w:color w:val="333333"/>
          <w:szCs w:val="21"/>
          <w:highlight w:val="none"/>
          <w:u w:val="single"/>
        </w:rPr>
        <w:t xml:space="preserve">0  </w:t>
      </w:r>
      <w:r>
        <w:rPr>
          <w:rFonts w:cs="Times New Roman"/>
          <w:bCs/>
          <w:szCs w:val="21"/>
          <w:highlight w:val="none"/>
        </w:rPr>
        <w:t>，递交投标文件的截止时间为：</w:t>
      </w:r>
      <w:r>
        <w:rPr>
          <w:rFonts w:cs="Times New Roman"/>
          <w:color w:val="333333"/>
          <w:szCs w:val="21"/>
          <w:highlight w:val="none"/>
          <w:u w:val="single"/>
        </w:rPr>
        <w:t>2026年</w:t>
      </w:r>
      <w:r>
        <w:rPr>
          <w:rFonts w:hint="eastAsia" w:cs="Times New Roman"/>
          <w:color w:val="333333"/>
          <w:szCs w:val="21"/>
          <w:highlight w:val="none"/>
          <w:u w:val="single"/>
          <w:lang w:val="en-US" w:eastAsia="zh-CN"/>
        </w:rPr>
        <w:t>9</w:t>
      </w:r>
      <w:r>
        <w:rPr>
          <w:rFonts w:cs="Times New Roman"/>
          <w:color w:val="333333"/>
          <w:szCs w:val="21"/>
          <w:highlight w:val="none"/>
          <w:u w:val="single"/>
        </w:rPr>
        <w:t>月</w:t>
      </w:r>
      <w:r>
        <w:rPr>
          <w:rFonts w:hint="eastAsia" w:cs="Times New Roman"/>
          <w:color w:val="333333"/>
          <w:szCs w:val="21"/>
          <w:highlight w:val="none"/>
          <w:u w:val="single"/>
          <w:lang w:val="en-US" w:eastAsia="zh-CN"/>
        </w:rPr>
        <w:t>10</w:t>
      </w:r>
      <w:r>
        <w:rPr>
          <w:rFonts w:cs="Times New Roman"/>
          <w:color w:val="333333"/>
          <w:szCs w:val="21"/>
          <w:highlight w:val="none"/>
          <w:u w:val="single"/>
        </w:rPr>
        <w:t xml:space="preserve">日 </w:t>
      </w:r>
      <w:r>
        <w:rPr>
          <w:rFonts w:hint="eastAsia" w:cs="Times New Roman"/>
          <w:color w:val="333333"/>
          <w:szCs w:val="21"/>
          <w:highlight w:val="none"/>
          <w:u w:val="single"/>
        </w:rPr>
        <w:t>10</w:t>
      </w:r>
      <w:r>
        <w:rPr>
          <w:rFonts w:cs="Times New Roman"/>
          <w:color w:val="333333"/>
          <w:szCs w:val="21"/>
          <w:highlight w:val="none"/>
          <w:u w:val="single"/>
        </w:rPr>
        <w:t>:</w:t>
      </w:r>
      <w:r>
        <w:rPr>
          <w:rFonts w:hint="eastAsia" w:cs="Times New Roman"/>
          <w:color w:val="333333"/>
          <w:szCs w:val="21"/>
          <w:highlight w:val="none"/>
          <w:u w:val="single"/>
        </w:rPr>
        <w:t>0</w:t>
      </w:r>
      <w:r>
        <w:rPr>
          <w:rFonts w:cs="Times New Roman"/>
          <w:color w:val="333333"/>
          <w:szCs w:val="21"/>
          <w:highlight w:val="none"/>
          <w:u w:val="single"/>
        </w:rPr>
        <w:t xml:space="preserve">0  </w:t>
      </w:r>
      <w:r>
        <w:rPr>
          <w:rFonts w:cs="Times New Roman"/>
          <w:bCs/>
          <w:color w:val="000000" w:themeColor="text1"/>
          <w:szCs w:val="21"/>
          <w:highlight w:val="none"/>
          <w14:textFill>
            <w14:solidFill>
              <w14:schemeClr w14:val="tx1"/>
            </w14:solidFill>
          </w14:textFill>
        </w:rPr>
        <w:t>。</w:t>
      </w:r>
    </w:p>
    <w:p w14:paraId="1EB72BB7">
      <w:pPr>
        <w:spacing w:after="120" w:line="440" w:lineRule="exact"/>
        <w:ind w:firstLine="424" w:firstLineChars="202"/>
        <w:rPr>
          <w:rFonts w:cs="Times New Roman"/>
          <w:bCs/>
          <w:color w:val="000000" w:themeColor="text1"/>
          <w:szCs w:val="21"/>
          <w:highlight w:val="none"/>
          <w14:textFill>
            <w14:solidFill>
              <w14:schemeClr w14:val="tx1"/>
            </w14:solidFill>
          </w14:textFill>
        </w:rPr>
      </w:pPr>
      <w:r>
        <w:rPr>
          <w:rFonts w:cs="Times New Roman"/>
          <w:bCs/>
          <w:color w:val="000000" w:themeColor="text1"/>
          <w:szCs w:val="21"/>
          <w:highlight w:val="none"/>
          <w14:textFill>
            <w14:solidFill>
              <w14:schemeClr w14:val="tx1"/>
            </w14:solidFill>
          </w14:textFill>
        </w:rPr>
        <w:t>递交方式及地点：</w:t>
      </w:r>
      <w:r>
        <w:rPr>
          <w:rFonts w:cs="Times New Roman"/>
          <w:bCs/>
          <w:color w:val="000000" w:themeColor="text1"/>
          <w:szCs w:val="21"/>
          <w:highlight w:val="none"/>
          <w:u w:val="single"/>
          <w14:textFill>
            <w14:solidFill>
              <w14:schemeClr w14:val="tx1"/>
            </w14:solidFill>
          </w14:textFill>
        </w:rPr>
        <w:t>递交方式：投标人开标日需携带从交易平台中下载或打印的任意一个标段(或包件)的招标文件回执单，在递交投标文件之前现场办理签到后再递交纸质投标文件。递交地点：北京市公共资源交易中心良乡评标区（北京市房山区长阳镇西营路口北稻田南里15号）</w:t>
      </w:r>
      <w:r>
        <w:rPr>
          <w:rFonts w:cs="Times New Roman"/>
          <w:bCs/>
          <w:color w:val="000000" w:themeColor="text1"/>
          <w:szCs w:val="21"/>
          <w:highlight w:val="none"/>
          <w14:textFill>
            <w14:solidFill>
              <w14:schemeClr w14:val="tx1"/>
            </w14:solidFill>
          </w14:textFill>
        </w:rPr>
        <w:t>。</w:t>
      </w:r>
    </w:p>
    <w:p w14:paraId="0237A2BB">
      <w:pPr>
        <w:spacing w:after="120" w:line="440" w:lineRule="exact"/>
        <w:ind w:firstLine="424" w:firstLineChars="202"/>
        <w:rPr>
          <w:rFonts w:cs="Times New Roman"/>
          <w:strike/>
          <w:color w:val="000000" w:themeColor="text1"/>
          <w:kern w:val="0"/>
          <w:szCs w:val="21"/>
          <w:highlight w:val="none"/>
          <w14:textFill>
            <w14:solidFill>
              <w14:schemeClr w14:val="tx1"/>
            </w14:solidFill>
          </w14:textFill>
        </w:rPr>
      </w:pPr>
      <w:r>
        <w:rPr>
          <w:rFonts w:cs="Times New Roman"/>
          <w:bCs/>
          <w:color w:val="000000" w:themeColor="text1"/>
          <w:szCs w:val="21"/>
          <w:highlight w:val="none"/>
          <w14:textFill>
            <w14:solidFill>
              <w14:schemeClr w14:val="tx1"/>
            </w14:solidFill>
          </w14:textFill>
        </w:rPr>
        <w:t xml:space="preserve">    6.2 投标人开标日需携带从交易平台下载或打印的任意一个标段(或包件)的招标文件回执单签到,逾期送达或者未送达指定地点或者不按照招标文件要求密封的投标文件，招标人不予受理。</w:t>
      </w:r>
    </w:p>
    <w:p w14:paraId="097C060A">
      <w:pPr>
        <w:pStyle w:val="3"/>
        <w:rPr>
          <w:color w:val="000000" w:themeColor="text1"/>
          <w:highlight w:val="none"/>
          <w14:textFill>
            <w14:solidFill>
              <w14:schemeClr w14:val="tx1"/>
            </w14:solidFill>
          </w14:textFill>
        </w:rPr>
      </w:pPr>
      <w:bookmarkStart w:id="36" w:name="_Toc17614"/>
      <w:bookmarkStart w:id="37" w:name="_Toc6884"/>
      <w:bookmarkStart w:id="38" w:name="_Toc29955"/>
      <w:bookmarkStart w:id="39" w:name="_Toc3166"/>
      <w:bookmarkStart w:id="40" w:name="_Toc221033764"/>
      <w:r>
        <w:rPr>
          <w:color w:val="000000" w:themeColor="text1"/>
          <w:highlight w:val="none"/>
          <w14:textFill>
            <w14:solidFill>
              <w14:schemeClr w14:val="tx1"/>
            </w14:solidFill>
          </w14:textFill>
        </w:rPr>
        <w:t>7．发布公告的媒介</w:t>
      </w:r>
      <w:bookmarkEnd w:id="35"/>
      <w:bookmarkEnd w:id="36"/>
      <w:bookmarkEnd w:id="37"/>
      <w:bookmarkEnd w:id="38"/>
      <w:bookmarkEnd w:id="39"/>
      <w:bookmarkEnd w:id="40"/>
    </w:p>
    <w:p w14:paraId="78F7D929">
      <w:pPr>
        <w:spacing w:after="120" w:line="440" w:lineRule="exact"/>
        <w:ind w:firstLine="420" w:firstLineChars="200"/>
        <w:rPr>
          <w:rFonts w:cs="Times New Roman"/>
          <w:color w:val="000000" w:themeColor="text1"/>
          <w:kern w:val="0"/>
          <w:szCs w:val="21"/>
          <w:highlight w:val="none"/>
          <w14:textFill>
            <w14:solidFill>
              <w14:schemeClr w14:val="tx1"/>
            </w14:solidFill>
          </w14:textFill>
        </w:rPr>
      </w:pPr>
      <w:r>
        <w:rPr>
          <w:rFonts w:cs="Times New Roman"/>
          <w:color w:val="000000" w:themeColor="text1"/>
          <w:kern w:val="0"/>
          <w:szCs w:val="21"/>
          <w:highlight w:val="none"/>
          <w14:textFill>
            <w14:solidFill>
              <w14:schemeClr w14:val="tx1"/>
            </w14:solidFill>
          </w14:textFill>
        </w:rPr>
        <w:t>本次招标公告同时在</w:t>
      </w:r>
      <w:r>
        <w:rPr>
          <w:rFonts w:hint="eastAsia" w:hAnsi="宋体"/>
          <w:kern w:val="0"/>
          <w:szCs w:val="21"/>
          <w:highlight w:val="none"/>
          <w:u w:val="single"/>
        </w:rPr>
        <w:t>北京市公共资源交易服务平台(ggzyfw.beijing.gov.cn)、国铁采购平台（https://cg.95306.cn/）、中国招标投标公共服务平台（http://www.cebpubservice.com/）及中国铁物电子招投标平台（https://bids.crmsc.com.cn//）</w:t>
      </w:r>
      <w:r>
        <w:rPr>
          <w:rFonts w:hint="eastAsia" w:hAnsi="宋体"/>
          <w:kern w:val="0"/>
          <w:szCs w:val="21"/>
          <w:highlight w:val="none"/>
        </w:rPr>
        <w:t>上发布</w:t>
      </w:r>
      <w:r>
        <w:rPr>
          <w:rFonts w:cs="Times New Roman"/>
          <w:color w:val="000000" w:themeColor="text1"/>
          <w:kern w:val="0"/>
          <w:szCs w:val="21"/>
          <w:highlight w:val="none"/>
          <w14:textFill>
            <w14:solidFill>
              <w14:schemeClr w14:val="tx1"/>
            </w14:solidFill>
          </w14:textFill>
        </w:rPr>
        <w:t>。</w:t>
      </w:r>
    </w:p>
    <w:p w14:paraId="7939049D">
      <w:pPr>
        <w:pStyle w:val="3"/>
        <w:rPr>
          <w:color w:val="000000" w:themeColor="text1"/>
          <w:highlight w:val="none"/>
          <w14:textFill>
            <w14:solidFill>
              <w14:schemeClr w14:val="tx1"/>
            </w14:solidFill>
          </w14:textFill>
        </w:rPr>
      </w:pPr>
      <w:bookmarkStart w:id="41" w:name="_Toc3735"/>
      <w:bookmarkStart w:id="42" w:name="_Toc517102956"/>
      <w:bookmarkStart w:id="43" w:name="_Toc16903"/>
      <w:bookmarkStart w:id="44" w:name="_Toc221033765"/>
      <w:bookmarkStart w:id="45" w:name="_Toc23643"/>
      <w:bookmarkStart w:id="46" w:name="_Toc3506"/>
      <w:r>
        <w:rPr>
          <w:color w:val="000000" w:themeColor="text1"/>
          <w:highlight w:val="none"/>
          <w14:textFill>
            <w14:solidFill>
              <w14:schemeClr w14:val="tx1"/>
            </w14:solidFill>
          </w14:textFill>
        </w:rPr>
        <w:t>8．联系方式</w:t>
      </w:r>
      <w:bookmarkEnd w:id="41"/>
      <w:bookmarkEnd w:id="42"/>
      <w:bookmarkEnd w:id="43"/>
      <w:bookmarkEnd w:id="44"/>
      <w:bookmarkEnd w:id="45"/>
      <w:bookmarkEnd w:id="46"/>
    </w:p>
    <w:p w14:paraId="4C761CC9">
      <w:pPr>
        <w:spacing w:after="120" w:line="440" w:lineRule="exact"/>
        <w:ind w:firstLine="424" w:firstLineChars="202"/>
        <w:rPr>
          <w:rFonts w:cs="Times New Roman"/>
          <w:bCs/>
          <w:szCs w:val="21"/>
          <w:highlight w:val="none"/>
        </w:rPr>
      </w:pPr>
      <w:bookmarkStart w:id="47" w:name="_Toc31881"/>
      <w:bookmarkStart w:id="48" w:name="_Toc27421"/>
      <w:bookmarkStart w:id="49" w:name="_Toc221033766"/>
      <w:bookmarkStart w:id="50" w:name="_Toc15817"/>
      <w:r>
        <w:rPr>
          <w:rFonts w:cs="Times New Roman"/>
          <w:bCs/>
          <w:szCs w:val="21"/>
          <w:highlight w:val="none"/>
        </w:rPr>
        <w:t>招标人：</w:t>
      </w:r>
      <w:r>
        <w:rPr>
          <w:rFonts w:hint="eastAsia" w:ascii="宋体" w:hAnsi="宋体"/>
          <w:bCs/>
          <w:szCs w:val="21"/>
          <w:highlight w:val="none"/>
          <w:u w:val="single"/>
        </w:rPr>
        <w:t xml:space="preserve">京津冀城际铁路投资有限公司                      </w:t>
      </w:r>
      <w:r>
        <w:rPr>
          <w:rFonts w:hint="eastAsia" w:cs="Times New Roman"/>
          <w:bCs/>
          <w:szCs w:val="21"/>
          <w:highlight w:val="none"/>
          <w:u w:val="single"/>
        </w:rPr>
        <w:t xml:space="preserve"> </w:t>
      </w:r>
    </w:p>
    <w:p w14:paraId="4A0ABB7D">
      <w:pPr>
        <w:spacing w:after="120" w:line="440" w:lineRule="exact"/>
        <w:ind w:firstLine="424" w:firstLineChars="202"/>
        <w:rPr>
          <w:rFonts w:cs="Times New Roman"/>
          <w:bCs/>
          <w:szCs w:val="21"/>
          <w:highlight w:val="none"/>
        </w:rPr>
      </w:pPr>
      <w:r>
        <w:rPr>
          <w:rFonts w:cs="Times New Roman"/>
          <w:bCs/>
          <w:szCs w:val="21"/>
          <w:highlight w:val="none"/>
        </w:rPr>
        <w:t>地址：</w:t>
      </w:r>
      <w:r>
        <w:rPr>
          <w:rFonts w:hint="eastAsia" w:ascii="宋体" w:hAnsi="宋体"/>
          <w:bCs/>
          <w:szCs w:val="21"/>
          <w:highlight w:val="none"/>
          <w:u w:val="single"/>
        </w:rPr>
        <w:t>河北省雄安新区容东崇文北路218号金湖商务西区B4座</w:t>
      </w:r>
      <w:r>
        <w:rPr>
          <w:rFonts w:hint="eastAsia" w:cs="Times New Roman"/>
          <w:bCs/>
          <w:szCs w:val="21"/>
          <w:highlight w:val="none"/>
          <w:u w:val="single"/>
        </w:rPr>
        <w:t xml:space="preserve">  </w:t>
      </w:r>
    </w:p>
    <w:p w14:paraId="6AC2FB92">
      <w:pPr>
        <w:spacing w:after="120" w:line="440" w:lineRule="exact"/>
        <w:ind w:firstLine="424" w:firstLineChars="202"/>
        <w:rPr>
          <w:rFonts w:cs="Times New Roman"/>
          <w:bCs/>
          <w:szCs w:val="21"/>
          <w:highlight w:val="none"/>
        </w:rPr>
      </w:pPr>
      <w:r>
        <w:rPr>
          <w:rFonts w:cs="Times New Roman"/>
          <w:bCs/>
          <w:szCs w:val="21"/>
          <w:highlight w:val="none"/>
        </w:rPr>
        <w:t>邮编：</w:t>
      </w:r>
      <w:r>
        <w:rPr>
          <w:rFonts w:hint="eastAsia" w:ascii="宋体" w:hAnsi="宋体"/>
          <w:bCs/>
          <w:szCs w:val="21"/>
          <w:highlight w:val="none"/>
          <w:u w:val="single"/>
        </w:rPr>
        <w:t>071700</w:t>
      </w:r>
      <w:r>
        <w:rPr>
          <w:rFonts w:hint="eastAsia" w:cs="Times New Roman"/>
          <w:bCs/>
          <w:szCs w:val="21"/>
          <w:highlight w:val="none"/>
          <w:u w:val="single"/>
        </w:rPr>
        <w:t xml:space="preserve">                                             </w:t>
      </w:r>
    </w:p>
    <w:p w14:paraId="4236793A">
      <w:pPr>
        <w:spacing w:after="120" w:line="440" w:lineRule="exact"/>
        <w:ind w:firstLine="424" w:firstLineChars="202"/>
        <w:rPr>
          <w:rFonts w:cs="Times New Roman"/>
          <w:bCs/>
          <w:szCs w:val="21"/>
          <w:highlight w:val="none"/>
        </w:rPr>
      </w:pPr>
      <w:r>
        <w:rPr>
          <w:rFonts w:cs="Times New Roman"/>
          <w:bCs/>
          <w:szCs w:val="21"/>
          <w:highlight w:val="none"/>
        </w:rPr>
        <w:t>联系人：</w:t>
      </w:r>
      <w:r>
        <w:rPr>
          <w:rFonts w:hint="eastAsia" w:ascii="宋体" w:hAnsi="宋体"/>
          <w:bCs/>
          <w:szCs w:val="21"/>
          <w:highlight w:val="none"/>
          <w:u w:val="single"/>
        </w:rPr>
        <w:t>刘波、穆珠峰、李先生</w:t>
      </w:r>
      <w:r>
        <w:rPr>
          <w:rFonts w:hint="eastAsia" w:cs="Times New Roman"/>
          <w:bCs/>
          <w:szCs w:val="21"/>
          <w:highlight w:val="none"/>
          <w:u w:val="single"/>
        </w:rPr>
        <w:t xml:space="preserve">                             </w:t>
      </w:r>
    </w:p>
    <w:p w14:paraId="6FD8A8E8">
      <w:pPr>
        <w:spacing w:after="120" w:line="440" w:lineRule="exact"/>
        <w:ind w:firstLine="424" w:firstLineChars="202"/>
        <w:rPr>
          <w:rFonts w:cs="Times New Roman"/>
          <w:bCs/>
          <w:szCs w:val="21"/>
          <w:highlight w:val="none"/>
        </w:rPr>
      </w:pPr>
      <w:r>
        <w:rPr>
          <w:rFonts w:cs="Times New Roman"/>
          <w:bCs/>
          <w:szCs w:val="21"/>
          <w:highlight w:val="none"/>
        </w:rPr>
        <w:t>电话：</w:t>
      </w:r>
      <w:r>
        <w:rPr>
          <w:rFonts w:hint="eastAsia" w:ascii="宋体" w:hAnsi="宋体"/>
          <w:bCs/>
          <w:szCs w:val="21"/>
          <w:highlight w:val="none"/>
          <w:u w:val="single"/>
        </w:rPr>
        <w:t>13811418208、18612107313、010-51880769</w:t>
      </w:r>
      <w:r>
        <w:rPr>
          <w:rFonts w:hint="eastAsia" w:cs="Times New Roman"/>
          <w:bCs/>
          <w:szCs w:val="21"/>
          <w:highlight w:val="none"/>
          <w:u w:val="single"/>
        </w:rPr>
        <w:t xml:space="preserve">             </w:t>
      </w:r>
    </w:p>
    <w:p w14:paraId="2C6FEB64">
      <w:pPr>
        <w:spacing w:after="120" w:line="440" w:lineRule="exact"/>
        <w:ind w:firstLine="424" w:firstLineChars="202"/>
        <w:rPr>
          <w:rFonts w:cs="Times New Roman"/>
          <w:bCs/>
          <w:szCs w:val="21"/>
          <w:highlight w:val="none"/>
        </w:rPr>
      </w:pPr>
      <w:r>
        <w:rPr>
          <w:rFonts w:cs="Times New Roman"/>
          <w:bCs/>
          <w:szCs w:val="21"/>
          <w:highlight w:val="none"/>
        </w:rPr>
        <w:t>传真：</w:t>
      </w:r>
      <w:r>
        <w:rPr>
          <w:rFonts w:hint="eastAsia" w:cs="Times New Roman"/>
          <w:bCs/>
          <w:szCs w:val="21"/>
          <w:highlight w:val="none"/>
          <w:u w:val="single"/>
        </w:rPr>
        <w:t xml:space="preserve"> </w:t>
      </w:r>
      <w:r>
        <w:rPr>
          <w:rFonts w:cs="Times New Roman"/>
          <w:bCs/>
          <w:szCs w:val="21"/>
          <w:highlight w:val="none"/>
          <w:u w:val="single"/>
        </w:rPr>
        <w:t>/</w:t>
      </w:r>
      <w:r>
        <w:rPr>
          <w:rFonts w:hint="eastAsia" w:cs="Times New Roman"/>
          <w:bCs/>
          <w:szCs w:val="21"/>
          <w:highlight w:val="none"/>
          <w:u w:val="single"/>
        </w:rPr>
        <w:t xml:space="preserve">                                                 </w:t>
      </w:r>
    </w:p>
    <w:p w14:paraId="4CA5B6CE">
      <w:pPr>
        <w:spacing w:after="120" w:line="440" w:lineRule="exact"/>
        <w:ind w:firstLine="424" w:firstLineChars="202"/>
        <w:rPr>
          <w:rFonts w:cs="Times New Roman"/>
          <w:bCs/>
          <w:szCs w:val="21"/>
          <w:highlight w:val="none"/>
        </w:rPr>
      </w:pPr>
      <w:r>
        <w:rPr>
          <w:rFonts w:cs="Times New Roman"/>
          <w:bCs/>
          <w:szCs w:val="21"/>
          <w:highlight w:val="none"/>
        </w:rPr>
        <w:t>电子邮件：</w:t>
      </w:r>
      <w:r>
        <w:rPr>
          <w:rFonts w:hint="eastAsia" w:ascii="宋体" w:hAnsi="宋体"/>
          <w:bCs/>
          <w:szCs w:val="21"/>
          <w:highlight w:val="none"/>
          <w:u w:val="single"/>
        </w:rPr>
        <w:t>jjjwzsbb@163.com</w:t>
      </w:r>
      <w:r>
        <w:rPr>
          <w:rFonts w:hint="eastAsia" w:cs="Times New Roman"/>
          <w:bCs/>
          <w:szCs w:val="21"/>
          <w:highlight w:val="none"/>
          <w:u w:val="single"/>
        </w:rPr>
        <w:t xml:space="preserve">                              </w:t>
      </w:r>
    </w:p>
    <w:p w14:paraId="5225210C">
      <w:pPr>
        <w:spacing w:after="120" w:line="440" w:lineRule="exact"/>
        <w:ind w:firstLine="424" w:firstLineChars="202"/>
        <w:rPr>
          <w:rFonts w:cs="Times New Roman"/>
          <w:bCs/>
          <w:szCs w:val="21"/>
          <w:highlight w:val="none"/>
        </w:rPr>
      </w:pPr>
      <w:r>
        <w:rPr>
          <w:rFonts w:cs="Times New Roman"/>
          <w:bCs/>
          <w:szCs w:val="21"/>
          <w:highlight w:val="none"/>
        </w:rPr>
        <w:t>收款账户名：</w:t>
      </w:r>
      <w:r>
        <w:rPr>
          <w:rFonts w:hint="eastAsia" w:cs="Times New Roman"/>
          <w:bCs/>
          <w:szCs w:val="21"/>
          <w:highlight w:val="none"/>
          <w:u w:val="single"/>
        </w:rPr>
        <w:t xml:space="preserve"> </w:t>
      </w:r>
      <w:r>
        <w:rPr>
          <w:rFonts w:hint="eastAsia" w:ascii="宋体" w:hAnsi="宋体"/>
          <w:bCs/>
          <w:szCs w:val="21"/>
          <w:highlight w:val="none"/>
          <w:u w:val="single"/>
        </w:rPr>
        <w:t xml:space="preserve">/ </w:t>
      </w:r>
      <w:r>
        <w:rPr>
          <w:rFonts w:hint="eastAsia" w:cs="Times New Roman"/>
          <w:bCs/>
          <w:szCs w:val="21"/>
          <w:highlight w:val="none"/>
          <w:u w:val="single"/>
        </w:rPr>
        <w:t xml:space="preserve">                                         </w:t>
      </w:r>
    </w:p>
    <w:p w14:paraId="59688A0F">
      <w:pPr>
        <w:spacing w:after="120" w:line="440" w:lineRule="exact"/>
        <w:ind w:firstLine="424" w:firstLineChars="202"/>
        <w:rPr>
          <w:rFonts w:cs="Times New Roman"/>
          <w:bCs/>
          <w:szCs w:val="21"/>
          <w:highlight w:val="none"/>
          <w:u w:val="single"/>
        </w:rPr>
      </w:pPr>
      <w:r>
        <w:rPr>
          <w:rFonts w:cs="Times New Roman"/>
          <w:bCs/>
          <w:szCs w:val="21"/>
          <w:highlight w:val="none"/>
        </w:rPr>
        <w:t>开户银行：</w:t>
      </w:r>
      <w:r>
        <w:rPr>
          <w:rFonts w:hint="eastAsia" w:cs="Times New Roman"/>
          <w:bCs/>
          <w:szCs w:val="21"/>
          <w:highlight w:val="none"/>
          <w:u w:val="single"/>
        </w:rPr>
        <w:t xml:space="preserve"> </w:t>
      </w:r>
      <w:r>
        <w:rPr>
          <w:rFonts w:hint="eastAsia" w:ascii="宋体" w:hAnsi="宋体"/>
          <w:bCs/>
          <w:szCs w:val="21"/>
          <w:highlight w:val="none"/>
          <w:u w:val="single"/>
        </w:rPr>
        <w:t xml:space="preserve">/ </w:t>
      </w:r>
      <w:r>
        <w:rPr>
          <w:rFonts w:hint="eastAsia" w:cs="Times New Roman"/>
          <w:bCs/>
          <w:szCs w:val="21"/>
          <w:highlight w:val="none"/>
          <w:u w:val="single"/>
        </w:rPr>
        <w:t xml:space="preserve">                                           </w:t>
      </w:r>
    </w:p>
    <w:p w14:paraId="1326D6CD">
      <w:pPr>
        <w:ind w:firstLine="420" w:firstLineChars="200"/>
        <w:rPr>
          <w:rFonts w:cs="Times New Roman"/>
          <w:bCs/>
          <w:szCs w:val="21"/>
          <w:highlight w:val="none"/>
          <w:u w:val="single"/>
        </w:rPr>
      </w:pPr>
      <w:r>
        <w:rPr>
          <w:rFonts w:cs="Times New Roman"/>
          <w:bCs/>
          <w:szCs w:val="21"/>
          <w:highlight w:val="none"/>
        </w:rPr>
        <w:t>账号：</w:t>
      </w:r>
      <w:r>
        <w:rPr>
          <w:rFonts w:hint="eastAsia" w:cs="Times New Roman"/>
          <w:bCs/>
          <w:szCs w:val="21"/>
          <w:highlight w:val="none"/>
          <w:u w:val="single"/>
        </w:rPr>
        <w:t xml:space="preserve"> /                                                </w:t>
      </w:r>
    </w:p>
    <w:p w14:paraId="278B4BEB">
      <w:pPr>
        <w:pStyle w:val="3"/>
        <w:rPr>
          <w:color w:val="000000" w:themeColor="text1"/>
          <w:highlight w:val="none"/>
          <w14:textFill>
            <w14:solidFill>
              <w14:schemeClr w14:val="tx1"/>
            </w14:solidFill>
          </w14:textFill>
        </w:rPr>
      </w:pPr>
      <w:bookmarkStart w:id="51" w:name="_Toc9056"/>
      <w:r>
        <w:rPr>
          <w:color w:val="000000" w:themeColor="text1"/>
          <w:highlight w:val="none"/>
          <w14:textFill>
            <w14:solidFill>
              <w14:schemeClr w14:val="tx1"/>
            </w14:solidFill>
          </w14:textFill>
        </w:rPr>
        <w:t>9．行政监督部门</w:t>
      </w:r>
      <w:bookmarkEnd w:id="47"/>
      <w:bookmarkEnd w:id="48"/>
      <w:bookmarkEnd w:id="49"/>
      <w:bookmarkEnd w:id="50"/>
      <w:bookmarkEnd w:id="51"/>
    </w:p>
    <w:p w14:paraId="1A7C49CE">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行政监管部门监督电话：</w:t>
      </w:r>
    </w:p>
    <w:p w14:paraId="1E729388">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hint="eastAsia" w:cs="Times New Roman"/>
          <w:color w:val="000000" w:themeColor="text1"/>
          <w:szCs w:val="21"/>
          <w:highlight w:val="none"/>
          <w14:textFill>
            <w14:solidFill>
              <w14:schemeClr w14:val="tx1"/>
            </w14:solidFill>
          </w14:textFill>
        </w:rPr>
        <w:t>国家铁路局</w:t>
      </w:r>
      <w:r>
        <w:rPr>
          <w:rFonts w:cs="Times New Roman"/>
          <w:color w:val="000000" w:themeColor="text1"/>
          <w:szCs w:val="21"/>
          <w:highlight w:val="none"/>
          <w14:textFill>
            <w14:solidFill>
              <w14:schemeClr w14:val="tx1"/>
            </w14:solidFill>
          </w14:textFill>
        </w:rPr>
        <w:t>北京铁路督察室 010-51897783</w:t>
      </w:r>
    </w:p>
    <w:p w14:paraId="1184C869">
      <w:pPr>
        <w:spacing w:after="120" w:line="440" w:lineRule="exact"/>
        <w:ind w:firstLine="424" w:firstLineChars="202"/>
        <w:rPr>
          <w:rFonts w:cs="Times New Roman"/>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行政监管部门联系邮箱：</w:t>
      </w:r>
    </w:p>
    <w:p w14:paraId="3A66958B">
      <w:pPr>
        <w:spacing w:after="120" w:line="440" w:lineRule="exact"/>
        <w:ind w:firstLine="424" w:firstLineChars="202"/>
        <w:rPr>
          <w:rFonts w:cs="Times New Roman"/>
          <w:bCs/>
          <w:color w:val="000000" w:themeColor="text1"/>
          <w:szCs w:val="21"/>
          <w:highlight w:val="none"/>
          <w:u w:val="single"/>
          <w14:textFill>
            <w14:solidFill>
              <w14:schemeClr w14:val="tx1"/>
            </w14:solidFill>
          </w14:textFill>
        </w:rPr>
      </w:pPr>
      <w:r>
        <w:rPr>
          <w:rFonts w:hint="eastAsia" w:cs="Times New Roman"/>
          <w:color w:val="000000" w:themeColor="text1"/>
          <w:szCs w:val="21"/>
          <w:highlight w:val="none"/>
          <w14:textFill>
            <w14:solidFill>
              <w14:schemeClr w14:val="tx1"/>
            </w14:solidFill>
          </w14:textFill>
        </w:rPr>
        <w:t>国家铁路局</w:t>
      </w:r>
      <w:r>
        <w:rPr>
          <w:rFonts w:cs="Times New Roman"/>
          <w:color w:val="000000" w:themeColor="text1"/>
          <w:szCs w:val="21"/>
          <w:highlight w:val="none"/>
          <w14:textFill>
            <w14:solidFill>
              <w14:schemeClr w14:val="tx1"/>
            </w14:solidFill>
          </w14:textFill>
        </w:rPr>
        <w:t>北京铁路督察室bjtldcs@nra.gov.cn</w:t>
      </w:r>
    </w:p>
    <w:p w14:paraId="37E6A45F">
      <w:pPr>
        <w:spacing w:after="120" w:line="440" w:lineRule="exact"/>
        <w:ind w:firstLine="424" w:firstLineChars="202"/>
        <w:rPr>
          <w:rFonts w:cs="Times New Roman"/>
          <w:bCs/>
          <w:color w:val="000000" w:themeColor="text1"/>
          <w:szCs w:val="21"/>
          <w:highlight w:val="none"/>
          <w14:textFill>
            <w14:solidFill>
              <w14:schemeClr w14:val="tx1"/>
            </w14:solidFill>
          </w14:textFill>
        </w:rPr>
      </w:pPr>
    </w:p>
    <w:p w14:paraId="693D38EB">
      <w:pPr>
        <w:spacing w:after="120" w:line="440" w:lineRule="exact"/>
        <w:ind w:firstLine="424" w:firstLineChars="202"/>
        <w:rPr>
          <w:rFonts w:cs="Times New Roman"/>
          <w:bCs/>
          <w:color w:val="000000" w:themeColor="text1"/>
          <w:szCs w:val="21"/>
          <w:highlight w:val="none"/>
          <w14:textFill>
            <w14:solidFill>
              <w14:schemeClr w14:val="tx1"/>
            </w14:solidFill>
          </w14:textFill>
        </w:rPr>
      </w:pPr>
    </w:p>
    <w:p w14:paraId="0BFFCADA">
      <w:pPr>
        <w:spacing w:after="120" w:line="440" w:lineRule="exact"/>
        <w:ind w:firstLine="424" w:firstLineChars="202"/>
        <w:rPr>
          <w:rFonts w:cs="Times New Roman"/>
          <w:bCs/>
          <w:color w:val="000000" w:themeColor="text1"/>
          <w:szCs w:val="21"/>
          <w:highlight w:val="none"/>
          <w14:textFill>
            <w14:solidFill>
              <w14:schemeClr w14:val="tx1"/>
            </w14:solidFill>
          </w14:textFill>
        </w:rPr>
      </w:pPr>
    </w:p>
    <w:p w14:paraId="585C04B1">
      <w:pPr>
        <w:tabs>
          <w:tab w:val="left" w:pos="7060"/>
          <w:tab w:val="left" w:pos="8000"/>
        </w:tabs>
        <w:spacing w:after="120" w:line="440" w:lineRule="exact"/>
        <w:ind w:firstLine="424" w:firstLineChars="202"/>
        <w:jc w:val="center"/>
        <w:rPr>
          <w:rFonts w:cs="Times New Roman"/>
          <w:b/>
          <w:bCs/>
          <w:color w:val="000000" w:themeColor="text1"/>
          <w:szCs w:val="21"/>
          <w:highlight w:val="none"/>
          <w14:textFill>
            <w14:solidFill>
              <w14:schemeClr w14:val="tx1"/>
            </w14:solidFill>
          </w14:textFill>
        </w:rPr>
      </w:pPr>
      <w:r>
        <w:rPr>
          <w:rFonts w:cs="Times New Roman"/>
          <w:color w:val="000000" w:themeColor="text1"/>
          <w:szCs w:val="21"/>
          <w:highlight w:val="none"/>
          <w14:textFill>
            <w14:solidFill>
              <w14:schemeClr w14:val="tx1"/>
            </w14:solidFill>
          </w14:textFill>
        </w:rPr>
        <w:t xml:space="preserve">                              </w:t>
      </w:r>
      <w:r>
        <w:rPr>
          <w:rFonts w:hint="eastAsia" w:cs="Times New Roman"/>
          <w:color w:val="000000" w:themeColor="text1"/>
          <w:szCs w:val="21"/>
          <w:highlight w:val="none"/>
          <w14:textFill>
            <w14:solidFill>
              <w14:schemeClr w14:val="tx1"/>
            </w14:solidFill>
          </w14:textFill>
        </w:rPr>
        <w:t xml:space="preserve">          </w:t>
      </w:r>
      <w:r>
        <w:rPr>
          <w:rFonts w:cs="Times New Roman"/>
          <w:color w:val="000000" w:themeColor="text1"/>
          <w:szCs w:val="21"/>
          <w:highlight w:val="none"/>
          <w14:textFill>
            <w14:solidFill>
              <w14:schemeClr w14:val="tx1"/>
            </w14:solidFill>
          </w14:textFill>
        </w:rPr>
        <w:t xml:space="preserve">               2026年</w:t>
      </w:r>
      <w:r>
        <w:rPr>
          <w:rFonts w:hint="eastAsia" w:cs="Times New Roman"/>
          <w:color w:val="000000" w:themeColor="text1"/>
          <w:szCs w:val="21"/>
          <w:highlight w:val="none"/>
          <w:lang w:val="en-US" w:eastAsia="zh-CN"/>
          <w14:textFill>
            <w14:solidFill>
              <w14:schemeClr w14:val="tx1"/>
            </w14:solidFill>
          </w14:textFill>
        </w:rPr>
        <w:t>8</w:t>
      </w:r>
      <w:r>
        <w:rPr>
          <w:rFonts w:cs="Times New Roman"/>
          <w:color w:val="000000" w:themeColor="text1"/>
          <w:szCs w:val="21"/>
          <w:highlight w:val="none"/>
          <w14:textFill>
            <w14:solidFill>
              <w14:schemeClr w14:val="tx1"/>
            </w14:solidFill>
          </w14:textFill>
        </w:rPr>
        <w:t>月</w:t>
      </w:r>
      <w:r>
        <w:rPr>
          <w:rFonts w:hint="eastAsia" w:cs="Times New Roman"/>
          <w:color w:val="000000" w:themeColor="text1"/>
          <w:szCs w:val="21"/>
          <w:highlight w:val="none"/>
          <w:lang w:val="en-US" w:eastAsia="zh-CN"/>
          <w14:textFill>
            <w14:solidFill>
              <w14:schemeClr w14:val="tx1"/>
            </w14:solidFill>
          </w14:textFill>
        </w:rPr>
        <w:t>3</w:t>
      </w:r>
      <w:r>
        <w:rPr>
          <w:rFonts w:cs="Times New Roman"/>
          <w:color w:val="000000" w:themeColor="text1"/>
          <w:szCs w:val="21"/>
          <w:highlight w:val="none"/>
          <w14:textFill>
            <w14:solidFill>
              <w14:schemeClr w14:val="tx1"/>
            </w14:solidFill>
          </w14:textFill>
        </w:rPr>
        <w:t>日</w:t>
      </w:r>
    </w:p>
    <w:p w14:paraId="7A6F2C79">
      <w:pPr>
        <w:spacing w:line="10" w:lineRule="exact"/>
        <w:rPr>
          <w:rFonts w:eastAsia="仿宋_GB2312" w:cs="Times New Roman"/>
          <w:color w:val="000000" w:themeColor="text1"/>
          <w:szCs w:val="21"/>
          <w:highlight w:val="none"/>
          <w14:textFill>
            <w14:solidFill>
              <w14:schemeClr w14:val="tx1"/>
            </w14:solidFill>
          </w14:textFill>
        </w:rPr>
      </w:pPr>
    </w:p>
    <w:p w14:paraId="264B17C1">
      <w:pPr>
        <w:rPr>
          <w:rFonts w:eastAsia="仿宋_GB2312" w:cs="Times New Roman"/>
          <w:b/>
          <w:bCs/>
          <w:color w:val="000000" w:themeColor="text1"/>
          <w:szCs w:val="21"/>
          <w:highlight w:val="none"/>
          <w14:textFill>
            <w14:solidFill>
              <w14:schemeClr w14:val="tx1"/>
            </w14:solidFill>
          </w14:textFill>
        </w:rPr>
        <w:sectPr>
          <w:footerReference r:id="rId6" w:type="first"/>
          <w:footerReference r:id="rId5" w:type="default"/>
          <w:pgSz w:w="11906" w:h="16838"/>
          <w:pgMar w:top="1440" w:right="1080" w:bottom="1440" w:left="1080" w:header="851" w:footer="992" w:gutter="0"/>
          <w:pgNumType w:start="1"/>
          <w:cols w:space="425" w:num="1"/>
          <w:titlePg/>
          <w:docGrid w:linePitch="312" w:charSpace="0"/>
        </w:sectPr>
      </w:pPr>
      <w:r>
        <w:rPr>
          <w:rFonts w:eastAsia="仿宋_GB2312" w:cs="Times New Roman"/>
          <w:b/>
          <w:bCs/>
          <w:color w:val="000000" w:themeColor="text1"/>
          <w:szCs w:val="21"/>
          <w:highlight w:val="none"/>
          <w14:textFill>
            <w14:solidFill>
              <w14:schemeClr w14:val="tx1"/>
            </w14:solidFill>
          </w14:textFill>
        </w:rPr>
        <w:br w:type="page"/>
      </w:r>
    </w:p>
    <w:p w14:paraId="4EF74C47">
      <w:pPr>
        <w:tabs>
          <w:tab w:val="left" w:pos="7060"/>
          <w:tab w:val="left" w:pos="8000"/>
        </w:tabs>
        <w:spacing w:after="120" w:line="440" w:lineRule="exact"/>
        <w:ind w:firstLine="568" w:firstLineChars="202"/>
        <w:jc w:val="left"/>
        <w:outlineLvl w:val="1"/>
        <w:rPr>
          <w:rFonts w:cs="Times New Roman"/>
          <w:szCs w:val="21"/>
          <w:highlight w:val="none"/>
        </w:rPr>
      </w:pPr>
      <w:bookmarkStart w:id="52" w:name="_Toc7312"/>
      <w:bookmarkStart w:id="53" w:name="_Toc28535"/>
      <w:bookmarkStart w:id="54" w:name="_Toc29105"/>
      <w:bookmarkStart w:id="55" w:name="_Toc4213"/>
      <w:r>
        <w:rPr>
          <w:rFonts w:hint="eastAsia" w:cs="Times New Roman"/>
          <w:b/>
          <w:bCs/>
          <w:sz w:val="28"/>
          <w:highlight w:val="none"/>
        </w:rPr>
        <w:t>招标公告</w:t>
      </w:r>
      <w:r>
        <w:rPr>
          <w:rFonts w:cs="Times New Roman"/>
          <w:b/>
          <w:bCs/>
          <w:sz w:val="28"/>
          <w:highlight w:val="none"/>
        </w:rPr>
        <w:t>附件</w:t>
      </w:r>
      <w:r>
        <w:rPr>
          <w:rFonts w:hint="eastAsia" w:cs="Times New Roman"/>
          <w:b/>
          <w:bCs/>
          <w:sz w:val="28"/>
          <w:highlight w:val="none"/>
        </w:rPr>
        <w:t>1</w:t>
      </w:r>
      <w:r>
        <w:rPr>
          <w:rFonts w:cs="Times New Roman"/>
          <w:b/>
          <w:bCs/>
          <w:sz w:val="28"/>
          <w:highlight w:val="none"/>
        </w:rPr>
        <w:t>：</w:t>
      </w:r>
      <w:bookmarkEnd w:id="52"/>
      <w:bookmarkEnd w:id="53"/>
      <w:bookmarkEnd w:id="54"/>
      <w:bookmarkEnd w:id="55"/>
    </w:p>
    <w:tbl>
      <w:tblPr>
        <w:tblStyle w:val="5"/>
        <w:tblW w:w="14564" w:type="dxa"/>
        <w:jc w:val="center"/>
        <w:tblLayout w:type="fixed"/>
        <w:tblCellMar>
          <w:top w:w="0" w:type="dxa"/>
          <w:left w:w="108" w:type="dxa"/>
          <w:bottom w:w="0" w:type="dxa"/>
          <w:right w:w="108" w:type="dxa"/>
        </w:tblCellMar>
      </w:tblPr>
      <w:tblGrid>
        <w:gridCol w:w="709"/>
        <w:gridCol w:w="1548"/>
        <w:gridCol w:w="1867"/>
        <w:gridCol w:w="1024"/>
        <w:gridCol w:w="2903"/>
        <w:gridCol w:w="6513"/>
      </w:tblGrid>
      <w:tr w14:paraId="68E7E2AD">
        <w:tblPrEx>
          <w:tblCellMar>
            <w:top w:w="0" w:type="dxa"/>
            <w:left w:w="108" w:type="dxa"/>
            <w:bottom w:w="0" w:type="dxa"/>
            <w:right w:w="108" w:type="dxa"/>
          </w:tblCellMar>
        </w:tblPrEx>
        <w:trPr>
          <w:trHeight w:val="780" w:hRule="atLeast"/>
          <w:tblHeader/>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B5607DA">
            <w:pPr>
              <w:widowControl/>
              <w:spacing w:line="240" w:lineRule="auto"/>
              <w:jc w:val="center"/>
              <w:rPr>
                <w:rFonts w:ascii="宋体" w:hAnsi="宋体" w:cs="宋体"/>
                <w:b/>
                <w:bCs/>
                <w:kern w:val="0"/>
                <w:sz w:val="22"/>
                <w:highlight w:val="none"/>
              </w:rPr>
            </w:pPr>
            <w:bookmarkStart w:id="56" w:name="RANGE!A1:F33"/>
            <w:r>
              <w:rPr>
                <w:rFonts w:hint="eastAsia" w:ascii="宋体" w:hAnsi="宋体" w:cs="宋体"/>
                <w:b/>
                <w:bCs/>
                <w:kern w:val="0"/>
                <w:sz w:val="22"/>
                <w:highlight w:val="none"/>
              </w:rPr>
              <w:t>序号</w:t>
            </w:r>
            <w:bookmarkEnd w:id="56"/>
          </w:p>
        </w:tc>
        <w:tc>
          <w:tcPr>
            <w:tcW w:w="1548" w:type="dxa"/>
            <w:tcBorders>
              <w:top w:val="single" w:color="auto" w:sz="4" w:space="0"/>
              <w:left w:val="nil"/>
              <w:bottom w:val="single" w:color="auto" w:sz="4" w:space="0"/>
              <w:right w:val="single" w:color="auto" w:sz="4" w:space="0"/>
            </w:tcBorders>
            <w:shd w:val="clear" w:color="auto" w:fill="auto"/>
            <w:vAlign w:val="center"/>
          </w:tcPr>
          <w:p w14:paraId="2C559881">
            <w:pPr>
              <w:widowControl/>
              <w:spacing w:line="240" w:lineRule="auto"/>
              <w:jc w:val="center"/>
              <w:rPr>
                <w:rFonts w:ascii="宋体" w:hAnsi="宋体" w:cs="宋体"/>
                <w:b/>
                <w:bCs/>
                <w:kern w:val="0"/>
                <w:sz w:val="22"/>
                <w:highlight w:val="none"/>
              </w:rPr>
            </w:pPr>
            <w:r>
              <w:rPr>
                <w:rFonts w:hint="eastAsia" w:ascii="宋体" w:hAnsi="宋体" w:cs="宋体"/>
                <w:b/>
                <w:bCs/>
                <w:kern w:val="0"/>
                <w:sz w:val="22"/>
                <w:highlight w:val="none"/>
              </w:rPr>
              <w:t>招标人</w:t>
            </w:r>
          </w:p>
        </w:tc>
        <w:tc>
          <w:tcPr>
            <w:tcW w:w="1867" w:type="dxa"/>
            <w:tcBorders>
              <w:top w:val="single" w:color="auto" w:sz="4" w:space="0"/>
              <w:left w:val="nil"/>
              <w:bottom w:val="single" w:color="auto" w:sz="4" w:space="0"/>
              <w:right w:val="single" w:color="auto" w:sz="4" w:space="0"/>
            </w:tcBorders>
            <w:shd w:val="clear" w:color="auto" w:fill="auto"/>
            <w:vAlign w:val="center"/>
          </w:tcPr>
          <w:p w14:paraId="6E123854">
            <w:pPr>
              <w:widowControl/>
              <w:spacing w:line="240" w:lineRule="auto"/>
              <w:jc w:val="center"/>
              <w:rPr>
                <w:rFonts w:ascii="宋体" w:hAnsi="宋体" w:cs="宋体"/>
                <w:b/>
                <w:bCs/>
                <w:kern w:val="0"/>
                <w:sz w:val="22"/>
                <w:highlight w:val="none"/>
              </w:rPr>
            </w:pPr>
            <w:r>
              <w:rPr>
                <w:rFonts w:hint="eastAsia" w:ascii="宋体" w:hAnsi="宋体" w:cs="宋体"/>
                <w:b/>
                <w:bCs/>
                <w:kern w:val="0"/>
                <w:sz w:val="22"/>
                <w:highlight w:val="none"/>
              </w:rPr>
              <w:t>招标项目</w:t>
            </w:r>
          </w:p>
        </w:tc>
        <w:tc>
          <w:tcPr>
            <w:tcW w:w="1024" w:type="dxa"/>
            <w:tcBorders>
              <w:top w:val="single" w:color="auto" w:sz="4" w:space="0"/>
              <w:left w:val="nil"/>
              <w:bottom w:val="single" w:color="auto" w:sz="4" w:space="0"/>
              <w:right w:val="single" w:color="auto" w:sz="4" w:space="0"/>
            </w:tcBorders>
            <w:shd w:val="clear" w:color="auto" w:fill="auto"/>
            <w:vAlign w:val="center"/>
          </w:tcPr>
          <w:p w14:paraId="0F206336">
            <w:pPr>
              <w:widowControl/>
              <w:spacing w:line="240" w:lineRule="auto"/>
              <w:jc w:val="center"/>
              <w:rPr>
                <w:rFonts w:ascii="宋体" w:hAnsi="宋体" w:cs="宋体"/>
                <w:b/>
                <w:bCs/>
                <w:kern w:val="0"/>
                <w:sz w:val="22"/>
                <w:highlight w:val="none"/>
              </w:rPr>
            </w:pPr>
            <w:r>
              <w:rPr>
                <w:rFonts w:hint="eastAsia" w:ascii="宋体" w:hAnsi="宋体" w:cs="宋体"/>
                <w:b/>
                <w:bCs/>
                <w:kern w:val="0"/>
                <w:sz w:val="22"/>
                <w:highlight w:val="none"/>
              </w:rPr>
              <w:t>可研\初设批准单位</w:t>
            </w:r>
          </w:p>
        </w:tc>
        <w:tc>
          <w:tcPr>
            <w:tcW w:w="2903" w:type="dxa"/>
            <w:tcBorders>
              <w:top w:val="single" w:color="auto" w:sz="4" w:space="0"/>
              <w:left w:val="nil"/>
              <w:bottom w:val="single" w:color="auto" w:sz="4" w:space="0"/>
              <w:right w:val="single" w:color="auto" w:sz="4" w:space="0"/>
            </w:tcBorders>
            <w:shd w:val="clear" w:color="auto" w:fill="auto"/>
            <w:vAlign w:val="center"/>
          </w:tcPr>
          <w:p w14:paraId="22713175">
            <w:pPr>
              <w:widowControl/>
              <w:spacing w:line="240" w:lineRule="auto"/>
              <w:jc w:val="center"/>
              <w:rPr>
                <w:rFonts w:ascii="宋体" w:hAnsi="宋体" w:cs="宋体"/>
                <w:b/>
                <w:bCs/>
                <w:kern w:val="0"/>
                <w:sz w:val="22"/>
                <w:highlight w:val="none"/>
              </w:rPr>
            </w:pPr>
            <w:r>
              <w:rPr>
                <w:rFonts w:hint="eastAsia" w:ascii="宋体" w:hAnsi="宋体" w:cs="宋体"/>
                <w:b/>
                <w:bCs/>
                <w:kern w:val="0"/>
                <w:sz w:val="22"/>
                <w:highlight w:val="none"/>
              </w:rPr>
              <w:t>可研\初设批文及文号</w:t>
            </w:r>
          </w:p>
        </w:tc>
        <w:tc>
          <w:tcPr>
            <w:tcW w:w="6513" w:type="dxa"/>
            <w:tcBorders>
              <w:top w:val="single" w:color="auto" w:sz="4" w:space="0"/>
              <w:left w:val="nil"/>
              <w:bottom w:val="single" w:color="auto" w:sz="4" w:space="0"/>
              <w:right w:val="single" w:color="auto" w:sz="4" w:space="0"/>
            </w:tcBorders>
            <w:shd w:val="clear" w:color="auto" w:fill="auto"/>
            <w:vAlign w:val="center"/>
          </w:tcPr>
          <w:p w14:paraId="2E929538">
            <w:pPr>
              <w:widowControl/>
              <w:spacing w:line="240" w:lineRule="auto"/>
              <w:jc w:val="center"/>
              <w:rPr>
                <w:rFonts w:ascii="宋体" w:hAnsi="宋体" w:cs="宋体"/>
                <w:b/>
                <w:bCs/>
                <w:kern w:val="0"/>
                <w:sz w:val="22"/>
                <w:highlight w:val="none"/>
              </w:rPr>
            </w:pPr>
            <w:r>
              <w:rPr>
                <w:rFonts w:hint="eastAsia" w:ascii="宋体" w:hAnsi="宋体" w:cs="宋体"/>
                <w:b/>
                <w:bCs/>
                <w:kern w:val="0"/>
                <w:sz w:val="22"/>
                <w:highlight w:val="none"/>
              </w:rPr>
              <w:t>工程概况</w:t>
            </w:r>
          </w:p>
        </w:tc>
      </w:tr>
      <w:tr w14:paraId="7AB17CDB">
        <w:tblPrEx>
          <w:tblCellMar>
            <w:top w:w="0" w:type="dxa"/>
            <w:left w:w="108" w:type="dxa"/>
            <w:bottom w:w="0" w:type="dxa"/>
            <w:right w:w="108" w:type="dxa"/>
          </w:tblCellMar>
        </w:tblPrEx>
        <w:trPr>
          <w:trHeight w:val="3061"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755D380">
            <w:pPr>
              <w:widowControl/>
              <w:spacing w:line="240" w:lineRule="auto"/>
              <w:jc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1548" w:type="dxa"/>
            <w:tcBorders>
              <w:top w:val="nil"/>
              <w:left w:val="nil"/>
              <w:bottom w:val="single" w:color="auto" w:sz="4" w:space="0"/>
              <w:right w:val="single" w:color="auto" w:sz="4" w:space="0"/>
            </w:tcBorders>
            <w:shd w:val="clear" w:color="auto" w:fill="auto"/>
            <w:vAlign w:val="center"/>
          </w:tcPr>
          <w:p w14:paraId="4499F47B">
            <w:pPr>
              <w:widowControl/>
              <w:spacing w:line="240" w:lineRule="auto"/>
              <w:jc w:val="center"/>
              <w:rPr>
                <w:rFonts w:ascii="宋体" w:hAnsi="宋体" w:cs="宋体"/>
                <w:kern w:val="0"/>
                <w:sz w:val="18"/>
                <w:szCs w:val="18"/>
                <w:highlight w:val="none"/>
              </w:rPr>
            </w:pPr>
            <w:r>
              <w:rPr>
                <w:rFonts w:hint="eastAsia" w:ascii="宋体" w:hAnsi="宋体" w:cs="宋体"/>
                <w:kern w:val="0"/>
                <w:sz w:val="18"/>
                <w:szCs w:val="18"/>
                <w:highlight w:val="none"/>
              </w:rPr>
              <w:t>京津冀城际铁路投资有限公司</w:t>
            </w:r>
          </w:p>
        </w:tc>
        <w:tc>
          <w:tcPr>
            <w:tcW w:w="1867" w:type="dxa"/>
            <w:tcBorders>
              <w:top w:val="nil"/>
              <w:left w:val="nil"/>
              <w:bottom w:val="single" w:color="auto" w:sz="4" w:space="0"/>
              <w:right w:val="single" w:color="auto" w:sz="4" w:space="0"/>
            </w:tcBorders>
            <w:shd w:val="clear" w:color="auto" w:fill="auto"/>
            <w:vAlign w:val="center"/>
          </w:tcPr>
          <w:p w14:paraId="49599A00">
            <w:pPr>
              <w:widowControl/>
              <w:spacing w:line="240" w:lineRule="auto"/>
              <w:jc w:val="center"/>
              <w:rPr>
                <w:rFonts w:ascii="宋体" w:hAnsi="宋体" w:cs="宋体"/>
                <w:kern w:val="0"/>
                <w:sz w:val="18"/>
                <w:szCs w:val="18"/>
                <w:highlight w:val="none"/>
              </w:rPr>
            </w:pPr>
            <w:r>
              <w:rPr>
                <w:rFonts w:hint="eastAsia" w:ascii="宋体" w:hAnsi="宋体" w:cs="宋体"/>
                <w:kern w:val="0"/>
                <w:sz w:val="18"/>
                <w:szCs w:val="18"/>
                <w:highlight w:val="none"/>
              </w:rPr>
              <w:t>石家庄至雄安新区铁路工程</w:t>
            </w:r>
          </w:p>
        </w:tc>
        <w:tc>
          <w:tcPr>
            <w:tcW w:w="1024" w:type="dxa"/>
            <w:tcBorders>
              <w:top w:val="nil"/>
              <w:left w:val="nil"/>
              <w:bottom w:val="single" w:color="auto" w:sz="4" w:space="0"/>
              <w:right w:val="single" w:color="auto" w:sz="4" w:space="0"/>
            </w:tcBorders>
            <w:shd w:val="clear" w:color="auto" w:fill="auto"/>
            <w:vAlign w:val="center"/>
          </w:tcPr>
          <w:p w14:paraId="4B4D4612">
            <w:pPr>
              <w:widowControl/>
              <w:spacing w:line="240" w:lineRule="auto"/>
              <w:jc w:val="center"/>
              <w:rPr>
                <w:rFonts w:ascii="宋体" w:hAnsi="宋体" w:cs="宋体"/>
                <w:kern w:val="0"/>
                <w:sz w:val="18"/>
                <w:szCs w:val="18"/>
                <w:highlight w:val="none"/>
              </w:rPr>
            </w:pPr>
            <w:r>
              <w:rPr>
                <w:rFonts w:hint="eastAsia" w:ascii="宋体" w:hAnsi="宋体" w:cs="宋体"/>
                <w:kern w:val="0"/>
                <w:sz w:val="18"/>
                <w:szCs w:val="18"/>
                <w:highlight w:val="none"/>
              </w:rPr>
              <w:t>国铁集</w:t>
            </w:r>
          </w:p>
          <w:p w14:paraId="2C0DD7FE">
            <w:pPr>
              <w:widowControl/>
              <w:spacing w:line="240" w:lineRule="auto"/>
              <w:jc w:val="center"/>
              <w:rPr>
                <w:rFonts w:ascii="宋体" w:hAnsi="宋体" w:cs="宋体"/>
                <w:kern w:val="0"/>
                <w:sz w:val="22"/>
                <w:highlight w:val="none"/>
              </w:rPr>
            </w:pPr>
            <w:r>
              <w:rPr>
                <w:rFonts w:hint="eastAsia" w:ascii="宋体" w:hAnsi="宋体" w:cs="宋体"/>
                <w:kern w:val="0"/>
                <w:sz w:val="18"/>
                <w:szCs w:val="18"/>
                <w:highlight w:val="none"/>
              </w:rPr>
              <w:t>团、河北省人民政府</w:t>
            </w:r>
          </w:p>
        </w:tc>
        <w:tc>
          <w:tcPr>
            <w:tcW w:w="2903" w:type="dxa"/>
            <w:tcBorders>
              <w:top w:val="nil"/>
              <w:left w:val="nil"/>
              <w:bottom w:val="single" w:color="auto" w:sz="4" w:space="0"/>
              <w:right w:val="single" w:color="auto" w:sz="4" w:space="0"/>
            </w:tcBorders>
            <w:shd w:val="clear" w:color="auto" w:fill="auto"/>
            <w:vAlign w:val="center"/>
          </w:tcPr>
          <w:p w14:paraId="422BB47D">
            <w:pPr>
              <w:widowControl/>
              <w:spacing w:line="240" w:lineRule="auto"/>
              <w:jc w:val="left"/>
              <w:rPr>
                <w:rFonts w:ascii="宋体" w:hAnsi="宋体" w:cs="宋体"/>
                <w:kern w:val="0"/>
                <w:sz w:val="22"/>
                <w:highlight w:val="none"/>
              </w:rPr>
            </w:pPr>
            <w:r>
              <w:rPr>
                <w:rFonts w:hint="eastAsia" w:ascii="宋体" w:hAnsi="宋体" w:cs="宋体"/>
                <w:kern w:val="0"/>
                <w:sz w:val="18"/>
                <w:szCs w:val="18"/>
                <w:highlight w:val="none"/>
              </w:rPr>
              <w:t>《国铁集团、河北省人民政府关于石家庄至雄安新区铁路可行性研究报告的批复》（铁发改函〔2024〕309号）</w:t>
            </w:r>
          </w:p>
        </w:tc>
        <w:tc>
          <w:tcPr>
            <w:tcW w:w="6513" w:type="dxa"/>
            <w:tcBorders>
              <w:top w:val="nil"/>
              <w:left w:val="nil"/>
              <w:bottom w:val="single" w:color="auto" w:sz="4" w:space="0"/>
              <w:right w:val="single" w:color="auto" w:sz="4" w:space="0"/>
            </w:tcBorders>
            <w:shd w:val="clear" w:color="auto" w:fill="auto"/>
            <w:vAlign w:val="center"/>
          </w:tcPr>
          <w:p w14:paraId="0F8C26A5">
            <w:pPr>
              <w:widowControl/>
              <w:spacing w:line="240" w:lineRule="auto"/>
              <w:ind w:firstLine="365" w:firstLineChars="203"/>
              <w:jc w:val="left"/>
              <w:rPr>
                <w:rFonts w:ascii="宋体" w:hAnsi="宋体" w:cs="宋体"/>
                <w:kern w:val="0"/>
                <w:sz w:val="18"/>
                <w:szCs w:val="18"/>
                <w:highlight w:val="none"/>
              </w:rPr>
            </w:pPr>
            <w:r>
              <w:rPr>
                <w:rFonts w:hint="eastAsia" w:ascii="宋体" w:hAnsi="宋体" w:cs="宋体"/>
                <w:kern w:val="0"/>
                <w:sz w:val="18"/>
                <w:szCs w:val="18"/>
                <w:highlight w:val="none"/>
              </w:rPr>
              <w:t>石家庄至雄安新区铁路线路自石家庄枢纽新建裕华东站引出，向北经石家庄市高新区、正定新区与京广高铁正定机场站并站后，经无极、安国、蠡县，接入京广高铁保定东站在建雄忻高铁场，新建线路155.920km，利用雄忻高铁引入雄安站，预留蠡县经任丘至雄安段线路接入条件，全线共新设蠡县西、安国东、无极、正定机场等车站，其中，正定机场为既有站新建车场；新建董庄线路所。</w:t>
            </w:r>
          </w:p>
          <w:p w14:paraId="3A87512F">
            <w:pPr>
              <w:widowControl/>
              <w:spacing w:line="240" w:lineRule="auto"/>
              <w:ind w:firstLine="365" w:firstLineChars="203"/>
              <w:jc w:val="left"/>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rPr>
              <w:t>资金来自国铁集团、河北省分别承担30.45亿元、229.86亿元，资本金以外使用国内银行贷款，项目出资比例为资本金占总投资的79%，其中国铁集团11.7%、河北省88.3%</w:t>
            </w:r>
            <w:r>
              <w:rPr>
                <w:rFonts w:hint="eastAsia" w:ascii="宋体" w:hAnsi="宋体" w:cs="宋体"/>
                <w:kern w:val="0"/>
                <w:sz w:val="18"/>
                <w:szCs w:val="18"/>
                <w:highlight w:val="none"/>
                <w:lang w:eastAsia="zh-CN"/>
              </w:rPr>
              <w:t>。</w:t>
            </w:r>
          </w:p>
        </w:tc>
      </w:tr>
    </w:tbl>
    <w:p w14:paraId="5446F535">
      <w:pPr>
        <w:pStyle w:val="3"/>
        <w:rPr>
          <w:color w:val="000000" w:themeColor="text1"/>
          <w:highlight w:val="none"/>
          <w14:textFill>
            <w14:solidFill>
              <w14:schemeClr w14:val="tx1"/>
            </w14:solidFill>
          </w14:textFill>
        </w:rPr>
        <w:sectPr>
          <w:footerReference r:id="rId8" w:type="first"/>
          <w:footerReference r:id="rId7" w:type="default"/>
          <w:pgSz w:w="16838" w:h="11906" w:orient="landscape"/>
          <w:pgMar w:top="1080" w:right="1440" w:bottom="1080" w:left="1440" w:header="851" w:footer="992" w:gutter="0"/>
          <w:cols w:space="425" w:num="1"/>
          <w:docGrid w:linePitch="312" w:charSpace="0"/>
        </w:sectPr>
      </w:pPr>
    </w:p>
    <w:p w14:paraId="5A7F4F87">
      <w:pPr>
        <w:spacing w:after="120" w:line="640" w:lineRule="exact"/>
        <w:outlineLvl w:val="1"/>
        <w:rPr>
          <w:sz w:val="28"/>
          <w:szCs w:val="32"/>
          <w:highlight w:val="none"/>
        </w:rPr>
      </w:pPr>
      <w:bookmarkStart w:id="57" w:name="_Toc18541"/>
      <w:bookmarkStart w:id="58" w:name="_Toc2366"/>
      <w:r>
        <w:rPr>
          <w:rFonts w:hint="eastAsia" w:cs="Times New Roman"/>
          <w:b/>
          <w:bCs/>
          <w:sz w:val="28"/>
          <w:highlight w:val="none"/>
        </w:rPr>
        <w:t>招标公告附件2：</w:t>
      </w:r>
      <w:bookmarkEnd w:id="57"/>
      <w:bookmarkEnd w:id="58"/>
    </w:p>
    <w:tbl>
      <w:tblPr>
        <w:tblStyle w:val="5"/>
        <w:tblW w:w="14892" w:type="dxa"/>
        <w:jc w:val="center"/>
        <w:tblLayout w:type="autofit"/>
        <w:tblCellMar>
          <w:top w:w="0" w:type="dxa"/>
          <w:left w:w="108" w:type="dxa"/>
          <w:bottom w:w="0" w:type="dxa"/>
          <w:right w:w="108" w:type="dxa"/>
        </w:tblCellMar>
      </w:tblPr>
      <w:tblGrid>
        <w:gridCol w:w="509"/>
        <w:gridCol w:w="832"/>
        <w:gridCol w:w="835"/>
        <w:gridCol w:w="891"/>
        <w:gridCol w:w="1296"/>
        <w:gridCol w:w="1485"/>
        <w:gridCol w:w="625"/>
        <w:gridCol w:w="891"/>
        <w:gridCol w:w="6004"/>
        <w:gridCol w:w="936"/>
        <w:gridCol w:w="588"/>
      </w:tblGrid>
      <w:tr w14:paraId="27821854">
        <w:tblPrEx>
          <w:tblCellMar>
            <w:top w:w="0" w:type="dxa"/>
            <w:left w:w="108" w:type="dxa"/>
            <w:bottom w:w="0" w:type="dxa"/>
            <w:right w:w="108" w:type="dxa"/>
          </w:tblCellMar>
        </w:tblPrEx>
        <w:trPr>
          <w:trHeight w:val="760" w:hRule="atLeast"/>
          <w:jc w:val="center"/>
        </w:trPr>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2161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序号</w:t>
            </w:r>
          </w:p>
        </w:tc>
        <w:tc>
          <w:tcPr>
            <w:tcW w:w="8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42297">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包件号</w:t>
            </w:r>
          </w:p>
        </w:tc>
        <w:tc>
          <w:tcPr>
            <w:tcW w:w="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7B15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包件名称</w:t>
            </w:r>
          </w:p>
        </w:tc>
        <w:tc>
          <w:tcPr>
            <w:tcW w:w="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3F0B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物资名称</w:t>
            </w:r>
          </w:p>
        </w:tc>
        <w:tc>
          <w:tcPr>
            <w:tcW w:w="12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351D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规格型号</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1238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标准或图号</w:t>
            </w:r>
          </w:p>
        </w:tc>
        <w:tc>
          <w:tcPr>
            <w:tcW w:w="6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C078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计量单位</w:t>
            </w:r>
          </w:p>
        </w:tc>
        <w:tc>
          <w:tcPr>
            <w:tcW w:w="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E284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需求数量</w:t>
            </w:r>
          </w:p>
        </w:tc>
        <w:tc>
          <w:tcPr>
            <w:tcW w:w="6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DFA0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投标人资格条件</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1CEE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交货时间</w:t>
            </w:r>
          </w:p>
        </w:tc>
        <w:tc>
          <w:tcPr>
            <w:tcW w:w="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A6FD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备注</w:t>
            </w:r>
          </w:p>
        </w:tc>
      </w:tr>
      <w:tr w14:paraId="3FF65F61">
        <w:tblPrEx>
          <w:tblCellMar>
            <w:top w:w="0" w:type="dxa"/>
            <w:left w:w="108" w:type="dxa"/>
            <w:bottom w:w="0" w:type="dxa"/>
            <w:right w:w="108" w:type="dxa"/>
          </w:tblCellMar>
        </w:tblPrEx>
        <w:trPr>
          <w:trHeight w:val="1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70AF">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62D5">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SPZ01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03F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声屏障</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DA6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金属声屏障单元板</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984C">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1960*500*140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1D74">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Q/CR759-2020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8323</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 xml:space="preserve">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0A7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6D05">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61294.10 </w:t>
            </w:r>
          </w:p>
        </w:tc>
        <w:tc>
          <w:tcPr>
            <w:tcW w:w="6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40AE2">
            <w:pPr>
              <w:spacing w:line="320" w:lineRule="exact"/>
              <w:jc w:val="left"/>
              <w:rPr>
                <w:rFonts w:cs="Times New Roman"/>
                <w:color w:val="000000"/>
                <w:sz w:val="18"/>
                <w:szCs w:val="18"/>
                <w:highlight w:val="none"/>
              </w:rPr>
            </w:pPr>
            <w:bookmarkStart w:id="59" w:name="OLE_LINK13"/>
            <w:bookmarkStart w:id="60" w:name="OLE_LINK14"/>
            <w:bookmarkStart w:id="61" w:name="OLE_LINK16"/>
            <w:bookmarkStart w:id="62" w:name="OLE_LINK17"/>
            <w:r>
              <w:rPr>
                <w:rFonts w:hint="eastAsia" w:cs="Times New Roman"/>
                <w:color w:val="000000"/>
                <w:sz w:val="18"/>
                <w:szCs w:val="18"/>
                <w:highlight w:val="none"/>
              </w:rPr>
              <w:t>1.在中华人民共和国境内依法注册、具有法人资格的制造商。</w:t>
            </w:r>
          </w:p>
          <w:p w14:paraId="0082AC6F">
            <w:pPr>
              <w:spacing w:line="320" w:lineRule="exact"/>
              <w:jc w:val="left"/>
              <w:rPr>
                <w:rFonts w:cs="Times New Roman"/>
                <w:color w:val="000000"/>
                <w:sz w:val="18"/>
                <w:szCs w:val="18"/>
                <w:highlight w:val="none"/>
              </w:rPr>
            </w:pPr>
            <w:r>
              <w:rPr>
                <w:rFonts w:hint="eastAsia" w:cs="Times New Roman"/>
                <w:color w:val="000000"/>
                <w:sz w:val="18"/>
                <w:szCs w:val="18"/>
                <w:highlight w:val="none"/>
              </w:rPr>
              <w:t>2.财务能力要求：投标人须提供2023年以来任意一年经会计师事务所或审计机构审计的财务会计报表复印件（包括资产负债表、现金流量表、利润表）。投标人的成立时间少于投标人须知前附表规定年份的应提供成立以来的财务状况表。</w:t>
            </w:r>
          </w:p>
          <w:p w14:paraId="78774A9F">
            <w:pPr>
              <w:spacing w:line="320" w:lineRule="exact"/>
              <w:jc w:val="left"/>
              <w:rPr>
                <w:rFonts w:cs="Times New Roman"/>
                <w:color w:val="000000"/>
                <w:sz w:val="18"/>
                <w:szCs w:val="18"/>
                <w:highlight w:val="none"/>
              </w:rPr>
            </w:pPr>
            <w:r>
              <w:rPr>
                <w:rFonts w:hint="eastAsia" w:cs="Times New Roman"/>
                <w:color w:val="000000"/>
                <w:sz w:val="18"/>
                <w:szCs w:val="18"/>
                <w:highlight w:val="none"/>
              </w:rPr>
              <w:t>3.质量保证能力要求：金属声屏障单元板（厚度140mm）、通透隔声板（厚度20mm）须具有由通过CMA认证的第三方检测机构依据《铁路声屏障声学构件》（TB/T 3122-2019）及其第1、2号修改单出具的近三年内（2023年</w:t>
            </w:r>
            <w:r>
              <w:rPr>
                <w:rFonts w:hint="eastAsia" w:cs="Times New Roman"/>
                <w:color w:val="000000"/>
                <w:sz w:val="18"/>
                <w:szCs w:val="18"/>
                <w:highlight w:val="none"/>
                <w:lang w:val="en-US" w:eastAsia="zh-CN"/>
              </w:rPr>
              <w:t>9</w:t>
            </w:r>
            <w:r>
              <w:rPr>
                <w:rFonts w:hint="eastAsia" w:cs="Times New Roman"/>
                <w:color w:val="000000"/>
                <w:sz w:val="18"/>
                <w:szCs w:val="18"/>
                <w:highlight w:val="none"/>
              </w:rPr>
              <w:t>月至今）产品质量检测报告（检测项点详见技术规格书）。</w:t>
            </w:r>
          </w:p>
          <w:p w14:paraId="3B604279">
            <w:pPr>
              <w:spacing w:line="320" w:lineRule="exact"/>
              <w:jc w:val="left"/>
              <w:rPr>
                <w:rFonts w:cs="Times New Roman"/>
                <w:color w:val="000000"/>
                <w:sz w:val="18"/>
                <w:szCs w:val="18"/>
                <w:highlight w:val="none"/>
              </w:rPr>
            </w:pPr>
            <w:r>
              <w:rPr>
                <w:rFonts w:hint="eastAsia" w:cs="Times New Roman"/>
                <w:color w:val="000000"/>
                <w:sz w:val="18"/>
                <w:szCs w:val="18"/>
                <w:highlight w:val="none"/>
              </w:rPr>
              <w:t>4.近年完成的业绩要求：</w:t>
            </w:r>
          </w:p>
          <w:p w14:paraId="705360C3">
            <w:pPr>
              <w:spacing w:line="320" w:lineRule="exact"/>
              <w:jc w:val="left"/>
              <w:rPr>
                <w:rFonts w:cs="Times New Roman"/>
                <w:color w:val="000000"/>
                <w:sz w:val="18"/>
                <w:szCs w:val="18"/>
                <w:highlight w:val="none"/>
              </w:rPr>
            </w:pPr>
            <w:r>
              <w:rPr>
                <w:rFonts w:hint="eastAsia" w:cs="Times New Roman"/>
                <w:color w:val="000000"/>
                <w:sz w:val="18"/>
                <w:szCs w:val="18"/>
                <w:highlight w:val="none"/>
              </w:rPr>
              <w:t>（1）</w:t>
            </w:r>
            <w:bookmarkStart w:id="63" w:name="OLE_LINK7"/>
            <w:r>
              <w:rPr>
                <w:rFonts w:hint="eastAsia" w:cs="Times New Roman"/>
                <w:color w:val="000000"/>
                <w:sz w:val="18"/>
                <w:szCs w:val="18"/>
                <w:highlight w:val="none"/>
              </w:rPr>
              <w:t>投标人须提供金属声屏障（规格型号不限）近5年（2021年</w:t>
            </w:r>
            <w:r>
              <w:rPr>
                <w:rFonts w:hint="eastAsia" w:cs="Times New Roman"/>
                <w:color w:val="000000"/>
                <w:sz w:val="18"/>
                <w:szCs w:val="18"/>
                <w:highlight w:val="none"/>
                <w:lang w:val="en-US" w:eastAsia="zh-CN"/>
              </w:rPr>
              <w:t>9</w:t>
            </w:r>
            <w:r>
              <w:rPr>
                <w:rFonts w:hint="eastAsia" w:cs="Times New Roman"/>
                <w:color w:val="000000"/>
                <w:sz w:val="18"/>
                <w:szCs w:val="18"/>
                <w:highlight w:val="none"/>
              </w:rPr>
              <w:t>月至投标截止日，以采购合同签订时</w:t>
            </w:r>
            <w:bookmarkStart w:id="68" w:name="_GoBack"/>
            <w:bookmarkEnd w:id="68"/>
            <w:r>
              <w:rPr>
                <w:rFonts w:hint="eastAsia" w:cs="Times New Roman"/>
                <w:color w:val="000000"/>
                <w:sz w:val="18"/>
                <w:szCs w:val="18"/>
                <w:highlight w:val="none"/>
              </w:rPr>
              <w:t>间为准）铁路或城市轨道交通项目的供货业绩，</w:t>
            </w:r>
            <w:bookmarkEnd w:id="63"/>
            <w:r>
              <w:rPr>
                <w:rFonts w:hint="eastAsia" w:cs="Times New Roman"/>
                <w:color w:val="000000"/>
                <w:sz w:val="18"/>
                <w:szCs w:val="18"/>
                <w:highlight w:val="none"/>
              </w:rPr>
              <w:t>单一合同中的数量不少于10000㎡，</w:t>
            </w:r>
            <w:bookmarkStart w:id="64" w:name="OLE_LINK8"/>
            <w:bookmarkStart w:id="65" w:name="OLE_LINK9"/>
            <w:r>
              <w:rPr>
                <w:rFonts w:hint="eastAsia" w:cs="Times New Roman"/>
                <w:color w:val="000000"/>
                <w:sz w:val="18"/>
                <w:szCs w:val="18"/>
                <w:highlight w:val="none"/>
              </w:rPr>
              <w:t>并提供相应的中标通知书、合同协议书、材料进场验收证书（或验收文件或用户使用证明等）。</w:t>
            </w:r>
            <w:bookmarkEnd w:id="64"/>
            <w:bookmarkEnd w:id="65"/>
          </w:p>
          <w:p w14:paraId="3270F1B6">
            <w:pPr>
              <w:spacing w:line="320" w:lineRule="exact"/>
              <w:jc w:val="left"/>
              <w:rPr>
                <w:rFonts w:cs="Times New Roman"/>
                <w:color w:val="000000"/>
                <w:sz w:val="18"/>
                <w:szCs w:val="18"/>
                <w:highlight w:val="none"/>
              </w:rPr>
            </w:pPr>
            <w:r>
              <w:rPr>
                <w:rFonts w:hint="eastAsia" w:cs="Times New Roman"/>
                <w:color w:val="000000"/>
                <w:sz w:val="18"/>
                <w:szCs w:val="18"/>
                <w:highlight w:val="none"/>
              </w:rPr>
              <w:t>（2）投标人须提供</w:t>
            </w:r>
            <w:bookmarkStart w:id="66" w:name="OLE_LINK15"/>
            <w:r>
              <w:rPr>
                <w:rFonts w:hint="eastAsia" w:cs="Times New Roman"/>
                <w:color w:val="000000"/>
                <w:sz w:val="18"/>
                <w:szCs w:val="18"/>
                <w:highlight w:val="none"/>
              </w:rPr>
              <w:t>通透单元板</w:t>
            </w:r>
            <w:bookmarkEnd w:id="66"/>
            <w:r>
              <w:rPr>
                <w:rFonts w:hint="eastAsia" w:cs="Times New Roman"/>
                <w:color w:val="000000"/>
                <w:sz w:val="18"/>
                <w:szCs w:val="18"/>
                <w:highlight w:val="none"/>
              </w:rPr>
              <w:t>（规格型号不限）近5年（2021年</w:t>
            </w:r>
            <w:r>
              <w:rPr>
                <w:rFonts w:hint="eastAsia" w:cs="Times New Roman"/>
                <w:color w:val="000000"/>
                <w:sz w:val="18"/>
                <w:szCs w:val="18"/>
                <w:highlight w:val="none"/>
                <w:lang w:val="en-US" w:eastAsia="zh-CN"/>
              </w:rPr>
              <w:t>9</w:t>
            </w:r>
            <w:r>
              <w:rPr>
                <w:rFonts w:hint="eastAsia" w:cs="Times New Roman"/>
                <w:color w:val="000000"/>
                <w:sz w:val="18"/>
                <w:szCs w:val="18"/>
                <w:highlight w:val="none"/>
              </w:rPr>
              <w:t>月至投标截止日，以采购合同签订时间为准）铁路或城市轨道交通项目的供货业绩，在单一合同中的数量不少于5000㎡，并提供相应的中标通知书、合同协议书、材料进场验收证书（或验收文件或用户使用证明等）。</w:t>
            </w:r>
            <w:bookmarkEnd w:id="59"/>
            <w:bookmarkEnd w:id="60"/>
          </w:p>
          <w:p w14:paraId="58481E0F">
            <w:pPr>
              <w:spacing w:line="320" w:lineRule="exact"/>
              <w:jc w:val="left"/>
              <w:rPr>
                <w:rFonts w:cs="Times New Roman"/>
                <w:color w:val="000000"/>
                <w:sz w:val="18"/>
                <w:szCs w:val="18"/>
                <w:highlight w:val="none"/>
              </w:rPr>
            </w:pPr>
            <w:r>
              <w:rPr>
                <w:rFonts w:hint="eastAsia" w:cs="Times New Roman"/>
                <w:color w:val="000000"/>
                <w:sz w:val="18"/>
                <w:szCs w:val="18"/>
                <w:highlight w:val="none"/>
              </w:rPr>
              <w:t>（3）金属声屏障业绩和通透单元板业绩可在同一合同中。</w:t>
            </w:r>
            <w:bookmarkEnd w:id="61"/>
            <w:bookmarkEnd w:id="62"/>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FC896">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2026</w:t>
            </w:r>
            <w:r>
              <w:rPr>
                <w:rFonts w:hint="eastAsia" w:ascii="宋体" w:hAnsi="宋体" w:cs="宋体"/>
                <w:color w:val="000000"/>
                <w:kern w:val="0"/>
                <w:sz w:val="18"/>
                <w:szCs w:val="18"/>
                <w:highlight w:val="none"/>
                <w:lang w:bidi="ar"/>
              </w:rPr>
              <w:t>年</w:t>
            </w:r>
            <w:r>
              <w:rPr>
                <w:rFonts w:cs="Times New Roman"/>
                <w:color w:val="000000"/>
                <w:kern w:val="0"/>
                <w:sz w:val="18"/>
                <w:szCs w:val="18"/>
                <w:highlight w:val="none"/>
                <w:lang w:bidi="ar"/>
              </w:rPr>
              <w:t>10</w:t>
            </w:r>
            <w:r>
              <w:rPr>
                <w:rFonts w:hint="eastAsia" w:ascii="宋体" w:hAnsi="宋体" w:cs="宋体"/>
                <w:color w:val="000000"/>
                <w:kern w:val="0"/>
                <w:sz w:val="18"/>
                <w:szCs w:val="18"/>
                <w:highlight w:val="none"/>
                <w:lang w:bidi="ar"/>
              </w:rPr>
              <w:t>月至工程结束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28C6">
            <w:pPr>
              <w:jc w:val="center"/>
              <w:rPr>
                <w:rFonts w:ascii="宋体" w:hAnsi="宋体" w:cs="宋体"/>
                <w:color w:val="000000"/>
                <w:sz w:val="22"/>
                <w:highlight w:val="none"/>
              </w:rPr>
            </w:pPr>
          </w:p>
        </w:tc>
      </w:tr>
      <w:tr w14:paraId="6B29F341">
        <w:tblPrEx>
          <w:tblCellMar>
            <w:top w:w="0" w:type="dxa"/>
            <w:left w:w="108" w:type="dxa"/>
            <w:bottom w:w="0" w:type="dxa"/>
            <w:right w:w="108" w:type="dxa"/>
          </w:tblCellMar>
        </w:tblPrEx>
        <w:trPr>
          <w:trHeight w:val="1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D6A0">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3BF5">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62F7">
            <w:pPr>
              <w:jc w:val="center"/>
              <w:rPr>
                <w:rFonts w:ascii="宋体" w:hAnsi="宋体" w:cs="宋体"/>
                <w:color w:val="000000"/>
                <w:sz w:val="18"/>
                <w:szCs w:val="18"/>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59CD">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通透单元板</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2D8E">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1960*1000*20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F030">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Q/CR759-2020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8323</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 xml:space="preserve">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A69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5C6B">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20191.92 </w:t>
            </w:r>
          </w:p>
        </w:tc>
        <w:tc>
          <w:tcPr>
            <w:tcW w:w="6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335C9">
            <w:pPr>
              <w:jc w:val="center"/>
              <w:rPr>
                <w:rFonts w:cs="Times New Roman"/>
                <w:color w:val="000000"/>
                <w:sz w:val="18"/>
                <w:szCs w:val="18"/>
                <w:highlight w:val="none"/>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503A5">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98E0">
            <w:pPr>
              <w:jc w:val="center"/>
              <w:rPr>
                <w:rFonts w:ascii="宋体" w:hAnsi="宋体" w:cs="宋体"/>
                <w:color w:val="000000"/>
                <w:sz w:val="22"/>
                <w:highlight w:val="none"/>
              </w:rPr>
            </w:pPr>
          </w:p>
        </w:tc>
      </w:tr>
      <w:tr w14:paraId="38B4D92E">
        <w:tblPrEx>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F34B">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A4FB">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2E58">
            <w:pPr>
              <w:jc w:val="center"/>
              <w:rPr>
                <w:rFonts w:ascii="宋体" w:hAnsi="宋体" w:cs="宋体"/>
                <w:color w:val="000000"/>
                <w:sz w:val="18"/>
                <w:szCs w:val="18"/>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363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合计</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0764">
            <w:pPr>
              <w:jc w:val="center"/>
              <w:rPr>
                <w:rFonts w:cs="Times New Roman"/>
                <w:color w:val="000000"/>
                <w:sz w:val="18"/>
                <w:szCs w:val="18"/>
                <w:highlight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CF38">
            <w:pPr>
              <w:jc w:val="center"/>
              <w:rPr>
                <w:rFonts w:cs="Times New Roman"/>
                <w:color w:val="000000"/>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1C2A">
            <w:pPr>
              <w:jc w:val="center"/>
              <w:rPr>
                <w:rFonts w:ascii="宋体" w:hAnsi="宋体" w:cs="宋体"/>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67A7">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81486.02 </w:t>
            </w:r>
          </w:p>
        </w:tc>
        <w:tc>
          <w:tcPr>
            <w:tcW w:w="6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99C2">
            <w:pPr>
              <w:jc w:val="center"/>
              <w:rPr>
                <w:rFonts w:cs="Times New Roman"/>
                <w:color w:val="000000"/>
                <w:sz w:val="18"/>
                <w:szCs w:val="18"/>
                <w:highlight w:val="none"/>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D9467">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F987">
            <w:pPr>
              <w:jc w:val="center"/>
              <w:rPr>
                <w:rFonts w:ascii="宋体" w:hAnsi="宋体" w:cs="宋体"/>
                <w:color w:val="000000"/>
                <w:sz w:val="22"/>
                <w:highlight w:val="none"/>
              </w:rPr>
            </w:pPr>
          </w:p>
        </w:tc>
      </w:tr>
      <w:tr w14:paraId="3F63FAA5">
        <w:tblPrEx>
          <w:tblCellMar>
            <w:top w:w="0" w:type="dxa"/>
            <w:left w:w="108" w:type="dxa"/>
            <w:bottom w:w="0" w:type="dxa"/>
            <w:right w:w="108" w:type="dxa"/>
          </w:tblCellMar>
        </w:tblPrEx>
        <w:trPr>
          <w:trHeight w:val="1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50C1">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B4F2">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SPZ02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4B5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声屏障</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A64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金属声屏障单元板</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1B75">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1960*500*140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CA46">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Q/CR759-2020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8323</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 xml:space="preserve">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4A8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5645">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47013.54 </w:t>
            </w:r>
          </w:p>
        </w:tc>
        <w:tc>
          <w:tcPr>
            <w:tcW w:w="6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EDD60">
            <w:pPr>
              <w:jc w:val="center"/>
              <w:rPr>
                <w:rFonts w:cs="Times New Roman"/>
                <w:color w:val="000000"/>
                <w:sz w:val="18"/>
                <w:szCs w:val="18"/>
                <w:highlight w:val="none"/>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20CA96">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2026</w:t>
            </w:r>
            <w:r>
              <w:rPr>
                <w:rFonts w:hint="eastAsia" w:ascii="宋体" w:hAnsi="宋体" w:cs="宋体"/>
                <w:color w:val="000000"/>
                <w:kern w:val="0"/>
                <w:sz w:val="18"/>
                <w:szCs w:val="18"/>
                <w:highlight w:val="none"/>
                <w:lang w:bidi="ar"/>
              </w:rPr>
              <w:t>年</w:t>
            </w:r>
            <w:r>
              <w:rPr>
                <w:rFonts w:cs="Times New Roman"/>
                <w:color w:val="000000"/>
                <w:kern w:val="0"/>
                <w:sz w:val="18"/>
                <w:szCs w:val="18"/>
                <w:highlight w:val="none"/>
                <w:lang w:bidi="ar"/>
              </w:rPr>
              <w:t>10</w:t>
            </w:r>
            <w:r>
              <w:rPr>
                <w:rFonts w:hint="eastAsia" w:ascii="宋体" w:hAnsi="宋体" w:cs="宋体"/>
                <w:color w:val="000000"/>
                <w:kern w:val="0"/>
                <w:sz w:val="18"/>
                <w:szCs w:val="18"/>
                <w:highlight w:val="none"/>
                <w:lang w:bidi="ar"/>
              </w:rPr>
              <w:t>月至工程结束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3206">
            <w:pPr>
              <w:jc w:val="center"/>
              <w:rPr>
                <w:rFonts w:ascii="宋体" w:hAnsi="宋体" w:cs="宋体"/>
                <w:color w:val="000000"/>
                <w:sz w:val="22"/>
                <w:highlight w:val="none"/>
              </w:rPr>
            </w:pPr>
          </w:p>
        </w:tc>
      </w:tr>
      <w:tr w14:paraId="3F3C4139">
        <w:tblPrEx>
          <w:tblCellMar>
            <w:top w:w="0" w:type="dxa"/>
            <w:left w:w="108" w:type="dxa"/>
            <w:bottom w:w="0" w:type="dxa"/>
            <w:right w:w="108" w:type="dxa"/>
          </w:tblCellMar>
        </w:tblPrEx>
        <w:trPr>
          <w:trHeight w:val="1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7A38">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D38E">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5DC8">
            <w:pPr>
              <w:jc w:val="center"/>
              <w:rPr>
                <w:rFonts w:ascii="宋体" w:hAnsi="宋体" w:cs="宋体"/>
                <w:color w:val="000000"/>
                <w:sz w:val="18"/>
                <w:szCs w:val="18"/>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F95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通透单元板</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F992">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1960*1000*20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8FE0">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Q/CR759-2020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8323</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 xml:space="preserve"> </w:t>
            </w:r>
            <w:r>
              <w:rPr>
                <w:rFonts w:hint="eastAsia" w:ascii="宋体" w:hAnsi="宋体" w:cs="宋体"/>
                <w:color w:val="000000"/>
                <w:kern w:val="0"/>
                <w:sz w:val="18"/>
                <w:szCs w:val="18"/>
                <w:highlight w:val="none"/>
                <w:lang w:bidi="ar"/>
              </w:rPr>
              <w:t>通环（</w:t>
            </w:r>
            <w:r>
              <w:rPr>
                <w:rFonts w:cs="Times New Roman"/>
                <w:color w:val="000000"/>
                <w:kern w:val="0"/>
                <w:sz w:val="18"/>
                <w:szCs w:val="18"/>
                <w:highlight w:val="none"/>
                <w:lang w:bidi="ar"/>
              </w:rPr>
              <w:t>2018</w:t>
            </w:r>
            <w:r>
              <w:rPr>
                <w:rFonts w:hint="eastAsia" w:ascii="宋体" w:hAnsi="宋体" w:cs="宋体"/>
                <w:color w:val="000000"/>
                <w:kern w:val="0"/>
                <w:sz w:val="18"/>
                <w:szCs w:val="18"/>
                <w:highlight w:val="none"/>
                <w:lang w:bidi="ar"/>
              </w:rPr>
              <w:t>）</w:t>
            </w:r>
            <w:r>
              <w:rPr>
                <w:rFonts w:cs="Times New Roman"/>
                <w:color w:val="000000"/>
                <w:kern w:val="0"/>
                <w:sz w:val="18"/>
                <w:szCs w:val="18"/>
                <w:highlight w:val="none"/>
                <w:lang w:bidi="ar"/>
              </w:rPr>
              <w:t>8325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C45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7D69">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16498.30 </w:t>
            </w:r>
          </w:p>
        </w:tc>
        <w:tc>
          <w:tcPr>
            <w:tcW w:w="6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4363B">
            <w:pPr>
              <w:jc w:val="center"/>
              <w:rPr>
                <w:rFonts w:cs="Times New Roman"/>
                <w:color w:val="000000"/>
                <w:sz w:val="18"/>
                <w:szCs w:val="18"/>
                <w:highlight w:val="none"/>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9B089">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F009">
            <w:pPr>
              <w:jc w:val="center"/>
              <w:rPr>
                <w:rFonts w:ascii="宋体" w:hAnsi="宋体" w:cs="宋体"/>
                <w:color w:val="000000"/>
                <w:sz w:val="22"/>
                <w:highlight w:val="none"/>
              </w:rPr>
            </w:pPr>
          </w:p>
        </w:tc>
      </w:tr>
      <w:tr w14:paraId="27912D0F">
        <w:tblPrEx>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833E">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208B">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EB5D">
            <w:pPr>
              <w:jc w:val="center"/>
              <w:rPr>
                <w:rFonts w:ascii="宋体" w:hAnsi="宋体" w:cs="宋体"/>
                <w:color w:val="000000"/>
                <w:sz w:val="18"/>
                <w:szCs w:val="18"/>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577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合计</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11FF">
            <w:pPr>
              <w:jc w:val="center"/>
              <w:rPr>
                <w:rFonts w:cs="Times New Roman"/>
                <w:color w:val="000000"/>
                <w:sz w:val="18"/>
                <w:szCs w:val="18"/>
                <w:highlight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B8CF">
            <w:pPr>
              <w:jc w:val="center"/>
              <w:rPr>
                <w:rFonts w:cs="Times New Roman"/>
                <w:color w:val="000000"/>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F1A2">
            <w:pPr>
              <w:jc w:val="center"/>
              <w:rPr>
                <w:rFonts w:ascii="宋体" w:hAnsi="宋体" w:cs="宋体"/>
                <w:color w:val="000000"/>
                <w:sz w:val="18"/>
                <w:szCs w:val="18"/>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138D">
            <w:pPr>
              <w:widowControl/>
              <w:jc w:val="center"/>
              <w:textAlignment w:val="center"/>
              <w:rPr>
                <w:rFonts w:cs="Times New Roman"/>
                <w:color w:val="000000"/>
                <w:sz w:val="18"/>
                <w:szCs w:val="18"/>
                <w:highlight w:val="none"/>
              </w:rPr>
            </w:pPr>
            <w:r>
              <w:rPr>
                <w:rFonts w:cs="Times New Roman"/>
                <w:color w:val="000000"/>
                <w:kern w:val="0"/>
                <w:sz w:val="18"/>
                <w:szCs w:val="18"/>
                <w:highlight w:val="none"/>
                <w:lang w:bidi="ar"/>
              </w:rPr>
              <w:t xml:space="preserve">63511.84 </w:t>
            </w:r>
          </w:p>
        </w:tc>
        <w:tc>
          <w:tcPr>
            <w:tcW w:w="6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51089">
            <w:pPr>
              <w:jc w:val="center"/>
              <w:rPr>
                <w:rFonts w:cs="Times New Roman"/>
                <w:color w:val="000000"/>
                <w:sz w:val="18"/>
                <w:szCs w:val="18"/>
                <w:highlight w:val="none"/>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C3AC28">
            <w:pPr>
              <w:jc w:val="center"/>
              <w:rPr>
                <w:rFonts w:cs="Times New Roman"/>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9641">
            <w:pPr>
              <w:jc w:val="center"/>
              <w:rPr>
                <w:rFonts w:ascii="宋体" w:hAnsi="宋体" w:cs="宋体"/>
                <w:color w:val="000000"/>
                <w:sz w:val="22"/>
                <w:highlight w:val="none"/>
              </w:rPr>
            </w:pPr>
          </w:p>
        </w:tc>
      </w:tr>
    </w:tbl>
    <w:p w14:paraId="72341D98">
      <w:pPr>
        <w:spacing w:after="120" w:line="640" w:lineRule="exact"/>
        <w:rPr>
          <w:sz w:val="28"/>
          <w:szCs w:val="32"/>
          <w:highlight w:val="none"/>
        </w:rPr>
        <w:sectPr>
          <w:pgSz w:w="16838" w:h="11906" w:orient="landscape"/>
          <w:pgMar w:top="1080" w:right="1440" w:bottom="1080" w:left="1440" w:header="851" w:footer="992" w:gutter="0"/>
          <w:cols w:space="425" w:num="1"/>
          <w:titlePg/>
          <w:docGrid w:linePitch="312" w:charSpace="0"/>
        </w:sectPr>
      </w:pPr>
    </w:p>
    <w:p w14:paraId="7CDD9A27">
      <w:pPr>
        <w:spacing w:after="120" w:line="640" w:lineRule="exact"/>
        <w:jc w:val="center"/>
        <w:rPr>
          <w:rFonts w:ascii="宋体" w:hAnsi="宋体" w:cs="宋体"/>
          <w:color w:val="000000" w:themeColor="text1"/>
          <w:sz w:val="44"/>
          <w:szCs w:val="44"/>
          <w:highlight w:val="none"/>
          <w14:textFill>
            <w14:solidFill>
              <w14:schemeClr w14:val="tx1"/>
            </w14:solidFill>
          </w14:textFill>
        </w:rPr>
      </w:pPr>
      <w:bookmarkStart w:id="67" w:name="_Toc156913271"/>
      <w:r>
        <w:rPr>
          <w:rFonts w:hint="eastAsia" w:ascii="宋体" w:hAnsi="宋体" w:cs="宋体"/>
          <w:color w:val="000000" w:themeColor="text1"/>
          <w:sz w:val="44"/>
          <w:szCs w:val="44"/>
          <w:highlight w:val="none"/>
          <w14:textFill>
            <w14:solidFill>
              <w14:schemeClr w14:val="tx1"/>
            </w14:solidFill>
          </w14:textFill>
        </w:rPr>
        <w:t>京津冀铁路公司2026年建设单位管理</w:t>
      </w:r>
    </w:p>
    <w:p w14:paraId="6F1F577C">
      <w:pPr>
        <w:spacing w:after="120" w:line="640" w:lineRule="exact"/>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甲供物资（声屏障）招标</w:t>
      </w:r>
    </w:p>
    <w:p w14:paraId="3A171A8C">
      <w:pPr>
        <w:spacing w:after="120" w:line="640" w:lineRule="exact"/>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招标异议提出方式及主要内容</w:t>
      </w:r>
    </w:p>
    <w:p w14:paraId="187B6093">
      <w:pPr>
        <w:snapToGrid w:val="0"/>
        <w:rPr>
          <w:rFonts w:ascii="仿宋_GB2312" w:hAnsi="仿宋" w:eastAsia="仿宋_GB2312" w:cs="仿宋"/>
          <w:color w:val="000000" w:themeColor="text1"/>
          <w:sz w:val="28"/>
          <w:szCs w:val="28"/>
          <w:highlight w:val="none"/>
          <w14:textFill>
            <w14:solidFill>
              <w14:schemeClr w14:val="tx1"/>
            </w14:solidFill>
          </w14:textFill>
        </w:rPr>
      </w:pPr>
    </w:p>
    <w:p w14:paraId="649DEABF">
      <w:pPr>
        <w:snapToGrid w:val="0"/>
        <w:spacing w:after="120" w:line="520" w:lineRule="exact"/>
        <w:ind w:firstLine="568" w:firstLineChars="100"/>
        <w:rPr>
          <w:rFonts w:ascii="宋体" w:hAnsi="宋体" w:cs="宋体"/>
          <w:sz w:val="24"/>
          <w:szCs w:val="24"/>
          <w:highlight w:val="none"/>
        </w:rPr>
      </w:pPr>
      <w:r>
        <w:rPr>
          <w:rFonts w:hint="eastAsia" w:ascii="宋体" w:hAnsi="宋体" w:cs="宋体"/>
          <w:spacing w:val="164"/>
          <w:kern w:val="0"/>
          <w:sz w:val="24"/>
          <w:szCs w:val="24"/>
          <w:highlight w:val="none"/>
          <w:fitText w:val="3080" w:id="601566293"/>
        </w:rPr>
        <w:t>招标异议地</w:t>
      </w:r>
      <w:r>
        <w:rPr>
          <w:rFonts w:hint="eastAsia" w:ascii="宋体" w:hAnsi="宋体" w:cs="宋体"/>
          <w:spacing w:val="0"/>
          <w:kern w:val="0"/>
          <w:sz w:val="24"/>
          <w:szCs w:val="24"/>
          <w:highlight w:val="none"/>
          <w:fitText w:val="3080" w:id="601566293"/>
        </w:rPr>
        <w:t>址</w:t>
      </w:r>
      <w:r>
        <w:rPr>
          <w:rFonts w:hint="eastAsia" w:ascii="宋体" w:hAnsi="宋体" w:cs="宋体"/>
          <w:sz w:val="24"/>
          <w:szCs w:val="24"/>
          <w:highlight w:val="none"/>
        </w:rPr>
        <w:t>：河北省雄安新区容城县崇文北路218号</w:t>
      </w:r>
    </w:p>
    <w:p w14:paraId="14953A47">
      <w:pPr>
        <w:snapToGrid w:val="0"/>
        <w:spacing w:after="120" w:line="520" w:lineRule="exact"/>
        <w:ind w:left="567" w:leftChars="270"/>
        <w:rPr>
          <w:rFonts w:ascii="宋体" w:hAnsi="宋体" w:cs="宋体"/>
          <w:sz w:val="24"/>
          <w:szCs w:val="24"/>
          <w:highlight w:val="none"/>
        </w:rPr>
      </w:pPr>
      <w:r>
        <w:rPr>
          <w:rFonts w:hint="eastAsia" w:ascii="宋体" w:hAnsi="宋体" w:cs="宋体"/>
          <w:spacing w:val="116"/>
          <w:kern w:val="0"/>
          <w:sz w:val="24"/>
          <w:szCs w:val="24"/>
          <w:highlight w:val="none"/>
          <w:fitText w:val="3080" w:id="1951408951"/>
        </w:rPr>
        <w:t>招标异议联系</w:t>
      </w:r>
      <w:r>
        <w:rPr>
          <w:rFonts w:hint="eastAsia" w:ascii="宋体" w:hAnsi="宋体" w:cs="宋体"/>
          <w:spacing w:val="4"/>
          <w:kern w:val="0"/>
          <w:sz w:val="24"/>
          <w:szCs w:val="24"/>
          <w:highlight w:val="none"/>
          <w:fitText w:val="3080" w:id="1951408951"/>
        </w:rPr>
        <w:t>人</w:t>
      </w:r>
      <w:r>
        <w:rPr>
          <w:rFonts w:hint="eastAsia" w:ascii="宋体" w:hAnsi="宋体" w:cs="宋体"/>
          <w:sz w:val="24"/>
          <w:szCs w:val="24"/>
          <w:highlight w:val="none"/>
        </w:rPr>
        <w:t>：李先生</w:t>
      </w:r>
    </w:p>
    <w:p w14:paraId="4EA74255">
      <w:pPr>
        <w:snapToGrid w:val="0"/>
        <w:spacing w:after="120" w:line="520" w:lineRule="exact"/>
        <w:ind w:left="567" w:leftChars="270"/>
        <w:rPr>
          <w:rFonts w:ascii="宋体" w:hAnsi="宋体" w:cs="宋体"/>
          <w:sz w:val="24"/>
          <w:szCs w:val="24"/>
          <w:highlight w:val="none"/>
        </w:rPr>
      </w:pPr>
      <w:r>
        <w:rPr>
          <w:rFonts w:hint="eastAsia" w:ascii="宋体" w:hAnsi="宋体" w:cs="宋体"/>
          <w:spacing w:val="164"/>
          <w:kern w:val="0"/>
          <w:sz w:val="24"/>
          <w:szCs w:val="24"/>
          <w:highlight w:val="none"/>
          <w:fitText w:val="3080" w:id="1427460267"/>
        </w:rPr>
        <w:t>招标异议电</w:t>
      </w:r>
      <w:r>
        <w:rPr>
          <w:rFonts w:hint="eastAsia" w:ascii="宋体" w:hAnsi="宋体" w:cs="宋体"/>
          <w:spacing w:val="0"/>
          <w:kern w:val="0"/>
          <w:sz w:val="24"/>
          <w:szCs w:val="24"/>
          <w:highlight w:val="none"/>
          <w:fitText w:val="3080" w:id="1427460267"/>
        </w:rPr>
        <w:t>话</w:t>
      </w:r>
      <w:r>
        <w:rPr>
          <w:rFonts w:hint="eastAsia" w:ascii="宋体" w:hAnsi="宋体" w:cs="宋体"/>
          <w:sz w:val="24"/>
          <w:szCs w:val="24"/>
          <w:highlight w:val="none"/>
        </w:rPr>
        <w:t>：010-51880769</w:t>
      </w:r>
    </w:p>
    <w:p w14:paraId="1309DE8D">
      <w:pPr>
        <w:snapToGrid w:val="0"/>
        <w:spacing w:after="120" w:line="520" w:lineRule="exact"/>
        <w:ind w:left="567" w:leftChars="27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spacing w:val="29"/>
          <w:kern w:val="0"/>
          <w:sz w:val="24"/>
          <w:szCs w:val="24"/>
          <w:highlight w:val="none"/>
          <w:fitText w:val="3080" w:id="2017141271"/>
        </w:rPr>
        <w:t>招标异议联系传真/邮</w:t>
      </w:r>
      <w:r>
        <w:rPr>
          <w:rFonts w:hint="eastAsia" w:ascii="宋体" w:hAnsi="宋体" w:cs="宋体"/>
          <w:spacing w:val="4"/>
          <w:kern w:val="0"/>
          <w:sz w:val="24"/>
          <w:szCs w:val="24"/>
          <w:highlight w:val="none"/>
          <w:fitText w:val="3080" w:id="2017141271"/>
        </w:rPr>
        <w:t>箱</w:t>
      </w:r>
      <w:r>
        <w:rPr>
          <w:rFonts w:hint="eastAsia" w:ascii="宋体" w:hAnsi="宋体" w:cs="宋体"/>
          <w:sz w:val="24"/>
          <w:szCs w:val="24"/>
          <w:highlight w:val="none"/>
        </w:rPr>
        <w:t>：jjjwzsbb@163.com</w:t>
      </w:r>
    </w:p>
    <w:p w14:paraId="0AC76290">
      <w:pPr>
        <w:snapToGrid w:val="0"/>
        <w:spacing w:after="120" w:line="520" w:lineRule="exact"/>
        <w:ind w:firstLine="482" w:firstLineChars="200"/>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异议函件应包括以下主要内容:</w:t>
      </w:r>
    </w:p>
    <w:p w14:paraId="19928636">
      <w:pPr>
        <w:snapToGrid w:val="0"/>
        <w:spacing w:after="120" w:line="52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（一）异议人的名称、地址、联系人及联系电话、电子邮箱等有效联系方式；</w:t>
      </w:r>
    </w:p>
    <w:p w14:paraId="3B7C4602">
      <w:pPr>
        <w:snapToGrid w:val="0"/>
        <w:spacing w:after="120" w:line="52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（二）异议事项涉及的项目名称、基本事实及相关证明材料；</w:t>
      </w:r>
    </w:p>
    <w:p w14:paraId="732E232F">
      <w:pPr>
        <w:snapToGrid w:val="0"/>
        <w:spacing w:after="120" w:line="52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（三）异议请求及主张；</w:t>
      </w:r>
    </w:p>
    <w:p w14:paraId="2433F831">
      <w:pPr>
        <w:snapToGrid w:val="0"/>
        <w:spacing w:after="120" w:line="52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（四）异议人应提供与物资采购活动存在利害关系的证明材料；</w:t>
      </w:r>
    </w:p>
    <w:p w14:paraId="1F3C1A04">
      <w:pPr>
        <w:snapToGrid w:val="0"/>
        <w:spacing w:after="120" w:line="52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（五）异议函件有关材料是外文的，异议人应同时提供其中文译本，并附相关的真实性证明；</w:t>
      </w:r>
    </w:p>
    <w:p w14:paraId="599598C2">
      <w:pPr>
        <w:snapToGrid w:val="0"/>
        <w:spacing w:after="120" w:line="52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（六）异议人已向有关行政监督部门投诉并被受理的应一并说明。</w:t>
      </w:r>
    </w:p>
    <w:p w14:paraId="6891CF52">
      <w:pPr>
        <w:rPr>
          <w:highlight w:val="none"/>
        </w:rPr>
      </w:pPr>
      <w:r>
        <w:rPr>
          <w:rFonts w:hint="eastAsia" w:ascii="宋体" w:hAnsi="宋体" w:cs="宋体"/>
          <w:color w:val="000000" w:themeColor="text1"/>
          <w:sz w:val="24"/>
          <w:szCs w:val="24"/>
          <w:highlight w:val="none"/>
          <w14:textFill>
            <w14:solidFill>
              <w14:schemeClr w14:val="tx1"/>
            </w14:solidFill>
          </w14:textFill>
        </w:rPr>
        <w:t>异议人为法人或非法人组织的，异议函件需由其法定代表人(负责人)或授权代表签字，加盖单位公章，并附授权书、营业执照等证明文件复印件、法定代表人(负责人)和授权代表人的有效身份证明复印件。异议人为自然人的，异议函件必须由异议人本人签字，并附有效身份证明复印件。</w:t>
      </w:r>
      <w:bookmarkEnd w:id="6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5729C">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692DE86C">
                          <w:pPr>
                            <w:pStyle w:val="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1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Pi91E0AAAAAIBAAAPAAAAAAAAAAEAIAAAACIAAABkcnMvZG93bnJldi54bWxQ&#10;SwECFAAUAAAACACHTuJAoJehLP8BAAAPBAAADgAAAAAAAAABACAAAAAfAQAAZHJzL2Uyb0RvYy54&#10;bWxQSwUGAAAAAAYABgBZAQAAkAUAAAAA&#10;">
              <v:fill on="f" focussize="0,0"/>
              <v:stroke on="f"/>
              <v:imagedata o:title=""/>
              <o:lock v:ext="edit" aspectratio="f"/>
              <v:textbox inset="0mm,0mm,0mm,0mm" style="mso-fit-shape-to-text:t;">
                <w:txbxContent>
                  <w:p w14:paraId="692DE86C">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25066">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Text Box 1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6C803505">
                          <w:pPr>
                            <w:pStyle w:val="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3"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Pi91E0AAAAAIBAAAPAAAAAAAAAAEAIAAAACIAAABkcnMvZG93bnJldi54bWxQ&#10;SwECFAAUAAAACACHTuJAotk9fP8BAAAPBAAADgAAAAAAAAABACAAAAAfAQAAZHJzL2Uyb0RvYy54&#10;bWxQSwUGAAAAAAYABgBZAQAAkAUAAAAA&#10;">
              <v:fill on="f" focussize="0,0"/>
              <v:stroke on="f"/>
              <v:imagedata o:title=""/>
              <o:lock v:ext="edit" aspectratio="f"/>
              <v:textbox inset="0mm,0mm,0mm,0mm" style="mso-fit-shape-to-text:t;">
                <w:txbxContent>
                  <w:p w14:paraId="6C80350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849D3">
    <w:pPr>
      <w:pStyle w:val="4"/>
      <w:jc w:val="center"/>
    </w:pPr>
    <w:r>
      <mc:AlternateContent>
        <mc:Choice Requires="wps">
          <w:drawing>
            <wp:anchor distT="0" distB="0" distL="114300" distR="114300" simplePos="0" relativeHeight="251662336" behindDoc="0" locked="0" layoutInCell="1" allowOverlap="1">
              <wp:simplePos x="0" y="0"/>
              <wp:positionH relativeFrom="margin">
                <wp:posOffset>3066415</wp:posOffset>
              </wp:positionH>
              <wp:positionV relativeFrom="paragraph">
                <wp:posOffset>-3175</wp:posOffset>
              </wp:positionV>
              <wp:extent cx="224155" cy="284480"/>
              <wp:effectExtent l="0" t="0" r="0" b="0"/>
              <wp:wrapNone/>
              <wp:docPr id="4" name="Text Box 14"/>
              <wp:cNvGraphicFramePr/>
              <a:graphic xmlns:a="http://schemas.openxmlformats.org/drawingml/2006/main">
                <a:graphicData uri="http://schemas.microsoft.com/office/word/2010/wordprocessingShape">
                  <wps:wsp>
                    <wps:cNvSpPr txBox="1">
                      <a:spLocks noChangeArrowheads="1"/>
                    </wps:cNvSpPr>
                    <wps:spPr bwMode="auto">
                      <a:xfrm>
                        <a:off x="0" y="0"/>
                        <a:ext cx="224286" cy="284671"/>
                      </a:xfrm>
                      <a:prstGeom prst="rect">
                        <a:avLst/>
                      </a:prstGeom>
                      <a:noFill/>
                      <a:ln>
                        <a:noFill/>
                      </a:ln>
                      <a:effectLst/>
                    </wps:spPr>
                    <wps:txbx>
                      <w:txbxContent>
                        <w:p w14:paraId="41570CF3">
                          <w:pPr>
                            <w:pStyle w:val="4"/>
                          </w:pPr>
                          <w:r>
                            <w:fldChar w:fldCharType="begin"/>
                          </w:r>
                          <w:r>
                            <w:instrText xml:space="preserve"> PAGE  \* MERGEFORMAT </w:instrText>
                          </w:r>
                          <w:r>
                            <w:fldChar w:fldCharType="separate"/>
                          </w:r>
                          <w:r>
                            <w:t>4</w:t>
                          </w:r>
                          <w:r>
                            <w:fldChar w:fldCharType="end"/>
                          </w:r>
                        </w:p>
                      </w:txbxContent>
                    </wps:txbx>
                    <wps:bodyPr rot="0" vert="horz" wrap="square" lIns="0" tIns="0" rIns="0" bIns="0" anchor="t" anchorCtr="0" upright="1">
                      <a:noAutofit/>
                    </wps:bodyPr>
                  </wps:wsp>
                </a:graphicData>
              </a:graphic>
            </wp:anchor>
          </w:drawing>
        </mc:Choice>
        <mc:Fallback>
          <w:pict>
            <v:shape id="Text Box 14" o:spid="_x0000_s1026" o:spt="202" type="#_x0000_t202" style="position:absolute;left:0pt;margin-left:241.45pt;margin-top:-0.25pt;height:22.4pt;width:17.65pt;mso-position-horizontal-relative:margin;z-index:251662336;mso-width-relative:page;mso-height-relative:page;" filled="f" stroked="f" coordsize="21600,21600" o:gfxdata="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d+EUNgAAAAIAQAADwAAAAAAAAABACAAAAAiAAAAZHJzL2Rv&#10;d25yZXYueG1sUEsBAhQAFAAAAAgAh07iQIY/3OQBAgAAEgQAAA4AAAAAAAAAAQAgAAAAJwEAAGRy&#10;cy9lMm9Eb2MueG1sUEsFBgAAAAAGAAYAWQEAAJoFAAAAAA==&#10;">
              <v:fill on="f" focussize="0,0"/>
              <v:stroke on="f"/>
              <v:imagedata o:title=""/>
              <o:lock v:ext="edit" aspectratio="f"/>
              <v:textbox inset="0mm,0mm,0mm,0mm">
                <w:txbxContent>
                  <w:p w14:paraId="41570CF3">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24194">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3B764741">
                          <w:pPr>
                            <w:pStyle w:val="4"/>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PlfknQAAAAAwEAAA8AAAAAAAAAAQAgAAAAIgAAAGRycy9kb3ducmV2LnhtbFBL&#10;AQIUABQAAAAIAIdO4kAmIvxf/gEAAA8EAAAOAAAAAAAAAAEAIAAAAB8BAABkcnMvZTJvRG9jLnht&#10;bFBLBQYAAAAABgAGAFkBAACPBQAAAAA=&#10;">
              <v:fill on="f" focussize="0,0"/>
              <v:stroke on="f"/>
              <v:imagedata o:title=""/>
              <o:lock v:ext="edit" aspectratio="f"/>
              <v:textbox inset="0mm,0mm,0mm,0mm" style="mso-fit-shape-to-text:t;">
                <w:txbxContent>
                  <w:p w14:paraId="3B764741">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1A61E3"/>
    <w:rsid w:val="28665ED8"/>
    <w:rsid w:val="38C52598"/>
    <w:rsid w:val="3CF45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60" w:lineRule="auto"/>
      <w:jc w:val="both"/>
    </w:pPr>
    <w:rPr>
      <w:rFonts w:ascii="Times New Roman" w:hAnsi="Times New Roman" w:eastAsia="宋体" w:cstheme="minorBidi"/>
      <w:kern w:val="2"/>
      <w:sz w:val="21"/>
      <w:szCs w:val="22"/>
      <w:lang w:val="en-US" w:eastAsia="zh-CN" w:bidi="ar-SA"/>
    </w:rPr>
  </w:style>
  <w:style w:type="paragraph" w:styleId="2">
    <w:name w:val="heading 1"/>
    <w:basedOn w:val="1"/>
    <w:next w:val="1"/>
    <w:qFormat/>
    <w:uiPriority w:val="0"/>
    <w:pPr>
      <w:keepNext/>
      <w:keepLines/>
      <w:widowControl/>
      <w:spacing w:before="340" w:after="330" w:line="578" w:lineRule="auto"/>
      <w:jc w:val="left"/>
      <w:outlineLvl w:val="0"/>
    </w:pPr>
    <w:rPr>
      <w:rFonts w:cs="Times New Roman" w:eastAsiaTheme="minorEastAsia"/>
      <w:b/>
      <w:bCs/>
      <w:kern w:val="44"/>
      <w:sz w:val="44"/>
      <w:szCs w:val="44"/>
    </w:rPr>
  </w:style>
  <w:style w:type="paragraph" w:styleId="3">
    <w:name w:val="heading 2"/>
    <w:basedOn w:val="1"/>
    <w:next w:val="1"/>
    <w:unhideWhenUsed/>
    <w:qFormat/>
    <w:uiPriority w:val="0"/>
    <w:pPr>
      <w:keepNext/>
      <w:keepLines/>
      <w:spacing w:before="100" w:line="560" w:lineRule="exact"/>
      <w:outlineLvl w:val="1"/>
    </w:pPr>
    <w:rPr>
      <w:rFonts w:cs="Times New Roman"/>
      <w:b/>
      <w:bCs/>
      <w:sz w:val="24"/>
      <w:szCs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spacing w:line="240" w:lineRule="auto"/>
      <w:jc w:val="left"/>
    </w:pPr>
    <w:rPr>
      <w:sz w:val="18"/>
      <w:szCs w:val="18"/>
    </w:rPr>
  </w:style>
  <w:style w:type="paragraph" w:customStyle="1" w:styleId="7">
    <w:name w:val="样式 正文小四wg + 首行缩进:  2 字符"/>
    <w:basedOn w:val="1"/>
    <w:qFormat/>
    <w:uiPriority w:val="0"/>
    <w:pPr>
      <w:autoSpaceDE w:val="0"/>
      <w:autoSpaceDN w:val="0"/>
      <w:adjustRightInd w:val="0"/>
      <w:ind w:firstLine="200" w:firstLineChars="200"/>
    </w:pPr>
    <w:rPr>
      <w:rFonts w:ascii="仿宋_GB2312" w:hAnsi="宋体" w:eastAsia="仿宋_GB2312" w:cs="宋体"/>
      <w:color w:val="000000"/>
      <w:kern w:val="20"/>
      <w:sz w:val="24"/>
      <w:szCs w:val="20"/>
    </w:rPr>
  </w:style>
  <w:style w:type="paragraph" w:customStyle="1" w:styleId="8">
    <w:name w:val="正文 含缩进"/>
    <w:basedOn w:val="1"/>
    <w:autoRedefine/>
    <w:qFormat/>
    <w:uiPriority w:val="0"/>
    <w:pPr>
      <w:ind w:firstLine="424" w:firstLineChars="202"/>
      <w:jc w:val="left"/>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2126</Words>
  <Characters>2638</Characters>
  <Lines>0</Lines>
  <Paragraphs>0</Paragraphs>
  <TotalTime>65</TotalTime>
  <ScaleCrop>false</ScaleCrop>
  <LinksUpToDate>false</LinksUpToDate>
  <CharactersWithSpaces>3094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2026-08-03T02:03:00Z</dcterms:created>
  <dc:creator>HW</dc:creator>
  <cp:lastModifiedBy>HW</cp:lastModifiedBy>
  <dcterms:modified xsi:type="dcterms:W3CDTF">2026-08-03T03:18:08Z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eyJoZGlkIjoiOTAxY2NlZDEzOWUyMDU3MTBkMDdmZDM1NmMzODEyZDciLCJ1c2VySWQiOiIxMTcxNzY2MzYzIn0=</vt:lpwstr>
  </property>
  <property fmtid="{D5CDD505-2E9C-101B-9397-08002B2CF9AE}" pid="4" name="ICV">
    <vt:lpwstr>1440856421714499A875453DC3D163AC_12</vt:lpwstr>
  </property>
</Properties>
</file>